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56257" w14:textId="24AAA8A5" w:rsidR="007E6EAA" w:rsidRPr="0058002A" w:rsidRDefault="006B5B2A" w:rsidP="007E6EAA">
      <w:pPr>
        <w:autoSpaceDE w:val="0"/>
        <w:autoSpaceDN w:val="0"/>
        <w:adjustRightInd w:val="0"/>
        <w:spacing w:after="120"/>
        <w:ind w:left="-426"/>
        <w:rPr>
          <w:rFonts w:ascii="Arial Narrow" w:hAnsi="Arial Narrow" w:cs="Arial"/>
          <w:bCs/>
          <w:color w:val="000000"/>
          <w:sz w:val="26"/>
          <w:szCs w:val="26"/>
        </w:rPr>
      </w:pPr>
      <w:r>
        <w:rPr>
          <w:rFonts w:ascii="Arial Narrow" w:hAnsi="Arial Narrow" w:cs="Arial"/>
          <w:bCs/>
          <w:color w:val="000000"/>
          <w:sz w:val="26"/>
          <w:szCs w:val="26"/>
        </w:rPr>
        <w:t xml:space="preserve"> </w:t>
      </w:r>
      <w:r w:rsidR="005D5E20">
        <w:rPr>
          <w:rFonts w:ascii="Arial Narrow" w:hAnsi="Arial Narrow" w:cs="Arial"/>
          <w:bCs/>
          <w:color w:val="000000"/>
          <w:sz w:val="26"/>
          <w:szCs w:val="26"/>
        </w:rPr>
        <w:t xml:space="preserve"> </w:t>
      </w:r>
    </w:p>
    <w:p w14:paraId="09FA882A" w14:textId="77777777" w:rsidR="00A53FD3" w:rsidRDefault="00A53FD3" w:rsidP="009016A1">
      <w:pPr>
        <w:spacing w:after="120"/>
        <w:rPr>
          <w:rFonts w:ascii="Arial Narrow" w:hAnsi="Arial Narrow" w:cs="Arial"/>
          <w:b/>
          <w:bCs/>
          <w:color w:val="E42618"/>
          <w:sz w:val="28"/>
          <w:szCs w:val="28"/>
        </w:rPr>
      </w:pPr>
    </w:p>
    <w:p w14:paraId="6B465D97" w14:textId="4144AD9E" w:rsidR="0047746A" w:rsidRDefault="007F334A" w:rsidP="009016A1">
      <w:pPr>
        <w:spacing w:after="120"/>
        <w:rPr>
          <w:rFonts w:ascii="Arial Narrow" w:hAnsi="Arial Narrow" w:cs="Arial"/>
          <w:b/>
          <w:bCs/>
          <w:color w:val="E42618"/>
          <w:sz w:val="28"/>
          <w:szCs w:val="28"/>
        </w:rPr>
      </w:pPr>
      <w:r>
        <w:rPr>
          <w:rFonts w:ascii="Arial Narrow" w:hAnsi="Arial Narrow" w:cs="Arial"/>
          <w:b/>
          <w:bCs/>
          <w:color w:val="E42618"/>
          <w:sz w:val="28"/>
          <w:szCs w:val="28"/>
        </w:rPr>
        <w:t xml:space="preserve">MATRIMONI, </w:t>
      </w:r>
      <w:r w:rsidR="00F7614B">
        <w:rPr>
          <w:rFonts w:ascii="Arial Narrow" w:hAnsi="Arial Narrow" w:cs="Arial"/>
          <w:b/>
          <w:bCs/>
          <w:color w:val="E42618"/>
          <w:sz w:val="28"/>
          <w:szCs w:val="28"/>
        </w:rPr>
        <w:t>UNIONI CIVILI</w:t>
      </w:r>
      <w:r>
        <w:rPr>
          <w:rFonts w:ascii="Arial Narrow" w:hAnsi="Arial Narrow" w:cs="Arial"/>
          <w:b/>
          <w:bCs/>
          <w:color w:val="E42618"/>
          <w:sz w:val="28"/>
          <w:szCs w:val="28"/>
        </w:rPr>
        <w:t>, SEPARAZIONI E DIVORZI</w:t>
      </w:r>
      <w:r w:rsidR="00EB1D63">
        <w:rPr>
          <w:rFonts w:ascii="Arial Narrow" w:hAnsi="Arial Narrow" w:cs="Arial"/>
          <w:b/>
          <w:bCs/>
          <w:color w:val="E42618"/>
          <w:sz w:val="28"/>
          <w:szCs w:val="28"/>
        </w:rPr>
        <w:t xml:space="preserve"> </w:t>
      </w:r>
      <w:r w:rsidR="00F7614B" w:rsidRPr="008A7077">
        <w:rPr>
          <w:rFonts w:ascii="Arial Narrow" w:hAnsi="Arial Narrow" w:cs="Arial"/>
          <w:b/>
          <w:bCs/>
          <w:color w:val="1F497D"/>
          <w:sz w:val="28"/>
          <w:szCs w:val="28"/>
        </w:rPr>
        <w:t>|</w:t>
      </w:r>
      <w:r w:rsidR="00EB1D63" w:rsidRPr="00AA345C">
        <w:rPr>
          <w:rFonts w:ascii="Arial Narrow" w:hAnsi="Arial Narrow" w:cs="Arial"/>
          <w:b/>
          <w:bCs/>
          <w:color w:val="E42618"/>
          <w:sz w:val="28"/>
          <w:szCs w:val="28"/>
        </w:rPr>
        <w:t xml:space="preserve"> </w:t>
      </w:r>
      <w:r w:rsidR="002A5447" w:rsidRPr="00792B2D">
        <w:rPr>
          <w:rFonts w:ascii="Arial Narrow" w:hAnsi="Arial Narrow" w:cs="Arial"/>
          <w:b/>
          <w:bCs/>
          <w:color w:val="E42618"/>
          <w:sz w:val="28"/>
          <w:szCs w:val="28"/>
        </w:rPr>
        <w:t>ANN</w:t>
      </w:r>
      <w:r w:rsidR="00764725" w:rsidRPr="00792B2D">
        <w:rPr>
          <w:rFonts w:ascii="Arial Narrow" w:hAnsi="Arial Narrow" w:cs="Arial"/>
          <w:b/>
          <w:bCs/>
          <w:color w:val="E42618"/>
          <w:sz w:val="28"/>
          <w:szCs w:val="28"/>
        </w:rPr>
        <w:t>O</w:t>
      </w:r>
      <w:r w:rsidR="002A5447" w:rsidRPr="00792B2D">
        <w:rPr>
          <w:rFonts w:ascii="Arial Narrow" w:hAnsi="Arial Narrow" w:cs="Arial"/>
          <w:b/>
          <w:bCs/>
          <w:color w:val="E42618"/>
          <w:sz w:val="28"/>
          <w:szCs w:val="28"/>
        </w:rPr>
        <w:t xml:space="preserve"> 20</w:t>
      </w:r>
      <w:r w:rsidR="0088557B">
        <w:rPr>
          <w:rFonts w:ascii="Arial Narrow" w:hAnsi="Arial Narrow" w:cs="Arial"/>
          <w:b/>
          <w:bCs/>
          <w:color w:val="E42618"/>
          <w:sz w:val="28"/>
          <w:szCs w:val="28"/>
        </w:rPr>
        <w:t>20</w:t>
      </w:r>
    </w:p>
    <w:p w14:paraId="05815BC0" w14:textId="77777777" w:rsidR="007E6EAA" w:rsidRPr="0047746A" w:rsidRDefault="007E6EAA" w:rsidP="009016A1">
      <w:pPr>
        <w:tabs>
          <w:tab w:val="left" w:pos="851"/>
        </w:tabs>
        <w:autoSpaceDE w:val="0"/>
        <w:autoSpaceDN w:val="0"/>
        <w:adjustRightInd w:val="0"/>
        <w:jc w:val="both"/>
        <w:rPr>
          <w:rFonts w:ascii="Arial Narrow" w:hAnsi="Arial Narrow" w:cs="Arial"/>
          <w:bCs/>
          <w:color w:val="1F497D" w:themeColor="text2"/>
          <w:sz w:val="18"/>
          <w:szCs w:val="52"/>
        </w:rPr>
      </w:pPr>
    </w:p>
    <w:p w14:paraId="4EA98BD2" w14:textId="57FE535E" w:rsidR="00A2532B" w:rsidRPr="00AA345C" w:rsidRDefault="00172E71" w:rsidP="009016A1">
      <w:pPr>
        <w:tabs>
          <w:tab w:val="left" w:pos="851"/>
        </w:tabs>
        <w:autoSpaceDE w:val="0"/>
        <w:autoSpaceDN w:val="0"/>
        <w:adjustRightInd w:val="0"/>
        <w:jc w:val="both"/>
        <w:rPr>
          <w:rFonts w:ascii="Georgia" w:hAnsi="Georgia" w:cs="Arial"/>
          <w:bCs/>
          <w:color w:val="1F497D" w:themeColor="text2"/>
          <w:spacing w:val="-16"/>
          <w:sz w:val="50"/>
          <w:szCs w:val="50"/>
        </w:rPr>
      </w:pPr>
      <w:r>
        <w:rPr>
          <w:rFonts w:ascii="Georgia" w:hAnsi="Georgia" w:cs="Arial"/>
          <w:bCs/>
          <w:color w:val="1F497D" w:themeColor="text2"/>
          <w:spacing w:val="-16"/>
          <w:sz w:val="50"/>
          <w:szCs w:val="50"/>
        </w:rPr>
        <w:t xml:space="preserve">Forte impatto </w:t>
      </w:r>
      <w:r w:rsidR="006F0EFE">
        <w:rPr>
          <w:rFonts w:ascii="Georgia" w:hAnsi="Georgia" w:cs="Arial"/>
          <w:bCs/>
          <w:color w:val="1F497D" w:themeColor="text2"/>
          <w:spacing w:val="-16"/>
          <w:sz w:val="50"/>
          <w:szCs w:val="50"/>
        </w:rPr>
        <w:t>della pandemia sulla formazione e lo scioglimento delle unioni</w:t>
      </w:r>
    </w:p>
    <w:p w14:paraId="5965E489" w14:textId="7651FC6D" w:rsidR="007E6EAA" w:rsidRPr="001A62B5" w:rsidRDefault="004A7C23" w:rsidP="009016A1">
      <w:pPr>
        <w:tabs>
          <w:tab w:val="left" w:pos="9482"/>
        </w:tabs>
        <w:autoSpaceDE w:val="0"/>
        <w:autoSpaceDN w:val="0"/>
        <w:adjustRightInd w:val="0"/>
        <w:spacing w:line="360" w:lineRule="exact"/>
        <w:rPr>
          <w:rFonts w:ascii="Georgia" w:hAnsi="Georgia" w:cs="Arial"/>
          <w:bCs/>
          <w:sz w:val="36"/>
          <w:szCs w:val="52"/>
        </w:rPr>
      </w:pPr>
      <w:r>
        <w:rPr>
          <w:rFonts w:ascii="Georgia" w:hAnsi="Georgia" w:cs="Arial"/>
          <w:bCs/>
          <w:noProof/>
          <w:color w:val="1F497D" w:themeColor="text2"/>
          <w:sz w:val="18"/>
          <w:szCs w:val="28"/>
        </w:rPr>
        <mc:AlternateContent>
          <mc:Choice Requires="wps">
            <w:drawing>
              <wp:anchor distT="0" distB="0" distL="114300" distR="114300" simplePos="0" relativeHeight="251683840" behindDoc="0" locked="0" layoutInCell="1" allowOverlap="1" wp14:anchorId="5B7F2D00" wp14:editId="38EE4785">
                <wp:simplePos x="0" y="0"/>
                <wp:positionH relativeFrom="column">
                  <wp:posOffset>-528955</wp:posOffset>
                </wp:positionH>
                <wp:positionV relativeFrom="paragraph">
                  <wp:posOffset>176530</wp:posOffset>
                </wp:positionV>
                <wp:extent cx="438150" cy="381000"/>
                <wp:effectExtent l="0" t="19050" r="38100" b="38100"/>
                <wp:wrapNone/>
                <wp:docPr id="21" name="Freccia a dest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F001D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13.9pt;width:34.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UpgIAANU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" adj="12209" fillcolor="#e42618" strokecolor="#e42618" strokeweight="2pt">
                <v:path arrowok="t"/>
              </v:shape>
            </w:pict>
          </mc:Fallback>
        </mc:AlternateContent>
      </w:r>
    </w:p>
    <w:p w14:paraId="1F9C37E7" w14:textId="79CAD80E" w:rsidR="004E3781" w:rsidRPr="00172E71" w:rsidRDefault="001B3D84" w:rsidP="00603E05">
      <w:pPr>
        <w:pStyle w:val="Default"/>
        <w:tabs>
          <w:tab w:val="left" w:pos="567"/>
        </w:tabs>
        <w:spacing w:after="120" w:line="360" w:lineRule="exact"/>
        <w:jc w:val="both"/>
        <w:rPr>
          <w:rFonts w:ascii="Georgia" w:hAnsi="Georgia" w:cs="Arial"/>
          <w:color w:val="1F497D"/>
          <w:sz w:val="28"/>
          <w:szCs w:val="28"/>
        </w:rPr>
      </w:pPr>
      <w:r>
        <w:rPr>
          <w:rFonts w:ascii="Georgia" w:hAnsi="Georgia" w:cs="Arial"/>
          <w:color w:val="1F497D"/>
          <w:sz w:val="28"/>
          <w:szCs w:val="28"/>
        </w:rPr>
        <w:t>Nel 2020 la pandemia ha indotto molt</w:t>
      </w:r>
      <w:r w:rsidR="00EB20D7">
        <w:rPr>
          <w:rFonts w:ascii="Georgia" w:hAnsi="Georgia" w:cs="Arial"/>
          <w:color w:val="1F497D"/>
          <w:sz w:val="28"/>
          <w:szCs w:val="28"/>
        </w:rPr>
        <w:t>e</w:t>
      </w:r>
      <w:r>
        <w:rPr>
          <w:rFonts w:ascii="Georgia" w:hAnsi="Georgia" w:cs="Arial"/>
          <w:color w:val="1F497D"/>
          <w:sz w:val="28"/>
          <w:szCs w:val="28"/>
        </w:rPr>
        <w:t xml:space="preserve"> </w:t>
      </w:r>
      <w:r w:rsidR="00EB20D7" w:rsidRPr="00172E71">
        <w:rPr>
          <w:rFonts w:ascii="Georgia" w:hAnsi="Georgia" w:cs="Arial"/>
          <w:color w:val="1F497D"/>
          <w:sz w:val="28"/>
          <w:szCs w:val="28"/>
        </w:rPr>
        <w:t xml:space="preserve">persone </w:t>
      </w:r>
      <w:r w:rsidRPr="00172E71">
        <w:rPr>
          <w:rFonts w:ascii="Georgia" w:hAnsi="Georgia" w:cs="Arial"/>
          <w:color w:val="1F497D"/>
          <w:sz w:val="28"/>
          <w:szCs w:val="28"/>
        </w:rPr>
        <w:t>a rinviare</w:t>
      </w:r>
      <w:r w:rsidR="00F11B6A" w:rsidRPr="00172E71">
        <w:rPr>
          <w:rFonts w:ascii="Georgia" w:hAnsi="Georgia" w:cs="Arial"/>
          <w:color w:val="1F497D"/>
          <w:sz w:val="28"/>
          <w:szCs w:val="28"/>
        </w:rPr>
        <w:t xml:space="preserve"> o rinunciare al</w:t>
      </w:r>
      <w:r w:rsidRPr="00172E71">
        <w:rPr>
          <w:rFonts w:ascii="Georgia" w:hAnsi="Georgia" w:cs="Arial"/>
          <w:color w:val="1F497D"/>
          <w:sz w:val="28"/>
          <w:szCs w:val="28"/>
        </w:rPr>
        <w:t>le nozze</w:t>
      </w:r>
      <w:r w:rsidR="00E54FAB">
        <w:rPr>
          <w:rFonts w:ascii="Georgia" w:hAnsi="Georgia" w:cs="Arial"/>
          <w:color w:val="1F497D"/>
          <w:sz w:val="28"/>
          <w:szCs w:val="28"/>
        </w:rPr>
        <w:t>.</w:t>
      </w:r>
      <w:r w:rsidR="00F11B6A" w:rsidRPr="00172E71">
        <w:rPr>
          <w:rFonts w:ascii="Georgia" w:hAnsi="Georgia" w:cs="Arial"/>
          <w:color w:val="1F497D"/>
          <w:sz w:val="28"/>
          <w:szCs w:val="28"/>
        </w:rPr>
        <w:t xml:space="preserve"> </w:t>
      </w:r>
      <w:r w:rsidR="00E54FAB">
        <w:rPr>
          <w:rFonts w:ascii="Georgia" w:hAnsi="Georgia" w:cs="Arial"/>
          <w:color w:val="1F497D"/>
          <w:sz w:val="28"/>
          <w:szCs w:val="28"/>
        </w:rPr>
        <w:t>I</w:t>
      </w:r>
      <w:r w:rsidR="00434FF3">
        <w:rPr>
          <w:rFonts w:ascii="Georgia" w:hAnsi="Georgia" w:cs="Arial"/>
          <w:color w:val="1F497D"/>
          <w:sz w:val="28"/>
          <w:szCs w:val="28"/>
        </w:rPr>
        <w:t xml:space="preserve"> matrimoni </w:t>
      </w:r>
      <w:r w:rsidR="00B01BE4" w:rsidRPr="00172E71">
        <w:rPr>
          <w:rFonts w:ascii="Georgia" w:hAnsi="Georgia" w:cs="Arial"/>
          <w:color w:val="1F497D"/>
          <w:sz w:val="28"/>
          <w:szCs w:val="28"/>
        </w:rPr>
        <w:t xml:space="preserve">celebrati in Italia </w:t>
      </w:r>
      <w:r w:rsidR="00434FF3">
        <w:rPr>
          <w:rFonts w:ascii="Georgia" w:hAnsi="Georgia" w:cs="Arial"/>
          <w:color w:val="1F497D"/>
          <w:sz w:val="28"/>
          <w:szCs w:val="28"/>
        </w:rPr>
        <w:t xml:space="preserve">sono </w:t>
      </w:r>
      <w:r w:rsidR="00E54FAB">
        <w:rPr>
          <w:rFonts w:ascii="Georgia" w:hAnsi="Georgia" w:cs="Arial"/>
          <w:color w:val="1F497D"/>
          <w:sz w:val="28"/>
          <w:szCs w:val="28"/>
        </w:rPr>
        <w:t xml:space="preserve">stati </w:t>
      </w:r>
      <w:r w:rsidR="00486629" w:rsidRPr="00062C65">
        <w:rPr>
          <w:rFonts w:ascii="Georgia" w:hAnsi="Georgia" w:cs="Arial"/>
          <w:color w:val="1F497D"/>
          <w:sz w:val="28"/>
          <w:szCs w:val="28"/>
        </w:rPr>
        <w:t>96</w:t>
      </w:r>
      <w:r w:rsidR="00B01BE4" w:rsidRPr="00062C65">
        <w:rPr>
          <w:rFonts w:ascii="Georgia" w:hAnsi="Georgia" w:cs="Arial"/>
          <w:color w:val="1F497D"/>
          <w:sz w:val="28"/>
          <w:szCs w:val="28"/>
        </w:rPr>
        <w:t>.</w:t>
      </w:r>
      <w:r w:rsidR="00486629" w:rsidRPr="00062C65">
        <w:rPr>
          <w:rFonts w:ascii="Georgia" w:hAnsi="Georgia" w:cs="Arial"/>
          <w:color w:val="1F497D"/>
          <w:sz w:val="28"/>
          <w:szCs w:val="28"/>
        </w:rPr>
        <w:t>841</w:t>
      </w:r>
      <w:r w:rsidR="00B01BE4" w:rsidRPr="00172E71">
        <w:rPr>
          <w:rFonts w:ascii="Georgia" w:hAnsi="Georgia" w:cs="Arial"/>
          <w:color w:val="1F497D"/>
          <w:sz w:val="28"/>
          <w:szCs w:val="28"/>
        </w:rPr>
        <w:t xml:space="preserve">, </w:t>
      </w:r>
      <w:r w:rsidR="00E54FAB">
        <w:rPr>
          <w:rFonts w:ascii="Georgia" w:hAnsi="Georgia" w:cs="Arial"/>
          <w:color w:val="1F497D"/>
          <w:sz w:val="28"/>
          <w:szCs w:val="28"/>
        </w:rPr>
        <w:t xml:space="preserve">il 47,4% </w:t>
      </w:r>
      <w:r w:rsidR="00B01BE4" w:rsidRPr="00172E71">
        <w:rPr>
          <w:rFonts w:ascii="Georgia" w:hAnsi="Georgia" w:cs="Arial"/>
          <w:color w:val="1F497D"/>
          <w:sz w:val="28"/>
          <w:szCs w:val="28"/>
        </w:rPr>
        <w:t xml:space="preserve">in </w:t>
      </w:r>
      <w:r w:rsidR="00E76AAE" w:rsidRPr="00172E71">
        <w:rPr>
          <w:rFonts w:ascii="Georgia" w:hAnsi="Georgia" w:cs="Arial"/>
          <w:color w:val="1F497D"/>
          <w:sz w:val="28"/>
          <w:szCs w:val="28"/>
        </w:rPr>
        <w:t xml:space="preserve">meno </w:t>
      </w:r>
      <w:r w:rsidR="00B01BE4" w:rsidRPr="00172E71">
        <w:rPr>
          <w:rFonts w:ascii="Georgia" w:hAnsi="Georgia" w:cs="Arial"/>
          <w:color w:val="1F497D"/>
          <w:sz w:val="28"/>
          <w:szCs w:val="28"/>
        </w:rPr>
        <w:t>ri</w:t>
      </w:r>
      <w:r w:rsidR="00E76AAE" w:rsidRPr="00172E71">
        <w:rPr>
          <w:rFonts w:ascii="Georgia" w:hAnsi="Georgia" w:cs="Arial"/>
          <w:color w:val="1F497D"/>
          <w:sz w:val="28"/>
          <w:szCs w:val="28"/>
        </w:rPr>
        <w:t>spetto al</w:t>
      </w:r>
      <w:r w:rsidR="00172E71">
        <w:rPr>
          <w:rFonts w:ascii="Georgia" w:hAnsi="Georgia" w:cs="Arial"/>
          <w:color w:val="1F497D"/>
          <w:sz w:val="28"/>
          <w:szCs w:val="28"/>
        </w:rPr>
        <w:t xml:space="preserve"> 2019</w:t>
      </w:r>
      <w:r w:rsidR="00E54FAB">
        <w:rPr>
          <w:rFonts w:ascii="Georgia" w:hAnsi="Georgia" w:cs="Arial"/>
          <w:color w:val="1F497D"/>
          <w:sz w:val="28"/>
          <w:szCs w:val="28"/>
        </w:rPr>
        <w:t>.</w:t>
      </w:r>
      <w:r w:rsidR="00E76AAE" w:rsidRPr="00172E71">
        <w:rPr>
          <w:rFonts w:ascii="Georgia" w:hAnsi="Georgia" w:cs="Arial"/>
          <w:color w:val="1F497D"/>
          <w:sz w:val="28"/>
          <w:szCs w:val="28"/>
        </w:rPr>
        <w:t xml:space="preserve"> </w:t>
      </w:r>
      <w:r w:rsidR="00E54FAB">
        <w:rPr>
          <w:rFonts w:ascii="Georgia" w:hAnsi="Georgia" w:cs="Arial"/>
          <w:color w:val="1F497D"/>
          <w:sz w:val="28"/>
          <w:szCs w:val="28"/>
        </w:rPr>
        <w:t>I</w:t>
      </w:r>
      <w:r w:rsidR="00172E71">
        <w:rPr>
          <w:rFonts w:ascii="Georgia" w:hAnsi="Georgia" w:cs="Arial"/>
          <w:color w:val="1F497D"/>
          <w:sz w:val="28"/>
          <w:szCs w:val="28"/>
        </w:rPr>
        <w:t>n</w:t>
      </w:r>
      <w:r w:rsidR="008C08D4" w:rsidRPr="00172E71">
        <w:rPr>
          <w:rFonts w:ascii="Georgia" w:hAnsi="Georgia" w:cs="Arial"/>
          <w:color w:val="1F497D"/>
          <w:sz w:val="28"/>
          <w:szCs w:val="28"/>
        </w:rPr>
        <w:t xml:space="preserve"> calo</w:t>
      </w:r>
      <w:r w:rsidR="00691CC8" w:rsidRPr="00172E71">
        <w:rPr>
          <w:rFonts w:ascii="Georgia" w:hAnsi="Georgia" w:cs="Arial"/>
          <w:color w:val="1F497D"/>
          <w:sz w:val="28"/>
          <w:szCs w:val="28"/>
        </w:rPr>
        <w:t xml:space="preserve"> </w:t>
      </w:r>
      <w:r w:rsidR="006F210F" w:rsidRPr="00172E71">
        <w:rPr>
          <w:rFonts w:ascii="Georgia" w:hAnsi="Georgia" w:cs="Arial"/>
          <w:color w:val="1F497D"/>
          <w:sz w:val="28"/>
          <w:szCs w:val="28"/>
        </w:rPr>
        <w:t xml:space="preserve">soprattutto </w:t>
      </w:r>
      <w:r w:rsidR="00C12394" w:rsidRPr="00172E71">
        <w:rPr>
          <w:rFonts w:ascii="Georgia" w:hAnsi="Georgia" w:cs="Arial"/>
          <w:color w:val="1F497D"/>
          <w:sz w:val="28"/>
          <w:szCs w:val="28"/>
        </w:rPr>
        <w:t>le nozze con rito religioso (-67,9</w:t>
      </w:r>
      <w:r w:rsidR="00AF4940">
        <w:rPr>
          <w:rFonts w:ascii="Georgia" w:hAnsi="Georgia" w:cs="Arial"/>
          <w:color w:val="1F497D"/>
          <w:sz w:val="28"/>
          <w:szCs w:val="28"/>
        </w:rPr>
        <w:t>%</w:t>
      </w:r>
      <w:r w:rsidR="00C12394" w:rsidRPr="00172E71">
        <w:rPr>
          <w:rFonts w:ascii="Georgia" w:hAnsi="Georgia" w:cs="Arial"/>
          <w:color w:val="1F497D"/>
          <w:sz w:val="28"/>
          <w:szCs w:val="28"/>
        </w:rPr>
        <w:t xml:space="preserve">) e </w:t>
      </w:r>
      <w:r w:rsidR="00C43EAB" w:rsidRPr="00172E71">
        <w:rPr>
          <w:rFonts w:ascii="Georgia" w:hAnsi="Georgia" w:cs="Arial"/>
          <w:color w:val="1F497D"/>
          <w:sz w:val="28"/>
          <w:szCs w:val="28"/>
        </w:rPr>
        <w:t>i primi matrimoni</w:t>
      </w:r>
      <w:r w:rsidR="00160774" w:rsidRPr="00172E71">
        <w:rPr>
          <w:rFonts w:ascii="Georgia" w:hAnsi="Georgia" w:cs="Arial"/>
          <w:color w:val="1F497D"/>
          <w:sz w:val="28"/>
          <w:szCs w:val="28"/>
        </w:rPr>
        <w:t xml:space="preserve"> (-52,3%)</w:t>
      </w:r>
      <w:r w:rsidR="00C12394" w:rsidRPr="00172E71">
        <w:rPr>
          <w:rFonts w:ascii="Georgia" w:hAnsi="Georgia" w:cs="Arial"/>
          <w:color w:val="1F497D"/>
          <w:sz w:val="28"/>
          <w:szCs w:val="28"/>
        </w:rPr>
        <w:t xml:space="preserve">. </w:t>
      </w:r>
    </w:p>
    <w:p w14:paraId="4115E402" w14:textId="1D8B9561" w:rsidR="000A3C52" w:rsidRPr="009016A1" w:rsidRDefault="00E54FAB" w:rsidP="00603E05">
      <w:pPr>
        <w:pStyle w:val="Default"/>
        <w:tabs>
          <w:tab w:val="left" w:pos="567"/>
        </w:tabs>
        <w:spacing w:after="120" w:line="360" w:lineRule="exact"/>
        <w:jc w:val="both"/>
        <w:rPr>
          <w:rFonts w:ascii="Georgia" w:hAnsi="Georgia" w:cs="Arial"/>
          <w:color w:val="1F497D"/>
          <w:sz w:val="28"/>
          <w:szCs w:val="28"/>
        </w:rPr>
      </w:pPr>
      <w:r>
        <w:rPr>
          <w:rFonts w:ascii="Georgia" w:hAnsi="Georgia" w:cs="Arial"/>
          <w:color w:val="1F497D" w:themeColor="text2"/>
          <w:sz w:val="28"/>
          <w:szCs w:val="28"/>
        </w:rPr>
        <w:t>Per i</w:t>
      </w:r>
      <w:r w:rsidR="00C33A9B" w:rsidRPr="00DB749C">
        <w:rPr>
          <w:rFonts w:ascii="Georgia" w:hAnsi="Georgia" w:cs="Arial"/>
          <w:color w:val="1F497D" w:themeColor="text2"/>
          <w:sz w:val="28"/>
          <w:szCs w:val="28"/>
        </w:rPr>
        <w:t xml:space="preserve"> primi nove mesi del 2021</w:t>
      </w:r>
      <w:r w:rsidR="00C33A9B" w:rsidRPr="00172E71">
        <w:rPr>
          <w:rFonts w:ascii="Georgia" w:hAnsi="Georgia" w:cs="Arial"/>
          <w:color w:val="1F497D" w:themeColor="text2"/>
          <w:sz w:val="28"/>
          <w:szCs w:val="28"/>
        </w:rPr>
        <w:t xml:space="preserve"> </w:t>
      </w:r>
      <w:r w:rsidR="00434FF3">
        <w:rPr>
          <w:rFonts w:ascii="Georgia" w:hAnsi="Georgia" w:cs="Arial"/>
          <w:color w:val="1F497D" w:themeColor="text2"/>
          <w:sz w:val="28"/>
          <w:szCs w:val="28"/>
        </w:rPr>
        <w:t>i</w:t>
      </w:r>
      <w:r w:rsidR="00434FF3" w:rsidRPr="00172E71">
        <w:rPr>
          <w:rFonts w:ascii="Georgia" w:hAnsi="Georgia" w:cs="Arial"/>
          <w:color w:val="1F497D" w:themeColor="text2"/>
          <w:sz w:val="28"/>
          <w:szCs w:val="28"/>
        </w:rPr>
        <w:t xml:space="preserve"> </w:t>
      </w:r>
      <w:r w:rsidR="00434FF3" w:rsidRPr="002C37A5">
        <w:rPr>
          <w:rFonts w:ascii="Georgia" w:hAnsi="Georgia" w:cs="Arial"/>
          <w:color w:val="1F497D" w:themeColor="text2"/>
          <w:sz w:val="28"/>
          <w:szCs w:val="28"/>
        </w:rPr>
        <w:t xml:space="preserve">dati provvisori </w:t>
      </w:r>
      <w:r w:rsidR="00434FF3">
        <w:rPr>
          <w:rFonts w:ascii="Georgia" w:hAnsi="Georgia" w:cs="Arial"/>
          <w:color w:val="1F497D" w:themeColor="text2"/>
          <w:sz w:val="28"/>
          <w:szCs w:val="28"/>
        </w:rPr>
        <w:t xml:space="preserve">indicano, </w:t>
      </w:r>
      <w:r w:rsidR="00434FF3" w:rsidRPr="00172E71">
        <w:rPr>
          <w:rFonts w:ascii="Georgia" w:hAnsi="Georgia" w:cs="Arial"/>
          <w:color w:val="1F497D" w:themeColor="text2"/>
          <w:sz w:val="28"/>
          <w:szCs w:val="28"/>
        </w:rPr>
        <w:t>rispetto allo stesso periodo del 2020</w:t>
      </w:r>
      <w:r w:rsidR="00434FF3" w:rsidRPr="00EE16E7">
        <w:rPr>
          <w:rFonts w:ascii="Georgia" w:hAnsi="Georgia" w:cs="Arial"/>
          <w:color w:val="1F497D" w:themeColor="text2"/>
          <w:sz w:val="28"/>
          <w:szCs w:val="28"/>
        </w:rPr>
        <w:t>, un raddoppio dei</w:t>
      </w:r>
      <w:r w:rsidR="005D202F" w:rsidRPr="00EE16E7">
        <w:rPr>
          <w:rFonts w:ascii="Georgia" w:hAnsi="Georgia" w:cs="Arial"/>
          <w:color w:val="1F497D" w:themeColor="text2"/>
          <w:sz w:val="28"/>
          <w:szCs w:val="28"/>
        </w:rPr>
        <w:t xml:space="preserve"> matrimoni,</w:t>
      </w:r>
      <w:r w:rsidR="005D202F" w:rsidRPr="00172E71">
        <w:rPr>
          <w:rFonts w:ascii="Georgia" w:hAnsi="Georgia" w:cs="Arial"/>
          <w:color w:val="1F497D" w:themeColor="text2"/>
          <w:sz w:val="28"/>
          <w:szCs w:val="28"/>
        </w:rPr>
        <w:t xml:space="preserve"> </w:t>
      </w:r>
      <w:r w:rsidR="00434FF3">
        <w:rPr>
          <w:rFonts w:ascii="Georgia" w:hAnsi="Georgia" w:cs="Arial"/>
          <w:color w:val="1F497D" w:themeColor="text2"/>
          <w:sz w:val="28"/>
          <w:szCs w:val="28"/>
        </w:rPr>
        <w:t xml:space="preserve">ma la </w:t>
      </w:r>
      <w:r w:rsidR="00252651" w:rsidRPr="00172E71">
        <w:rPr>
          <w:rFonts w:ascii="Georgia" w:hAnsi="Georgia" w:cs="Arial"/>
          <w:color w:val="1F497D" w:themeColor="text2"/>
          <w:sz w:val="28"/>
          <w:szCs w:val="28"/>
        </w:rPr>
        <w:t xml:space="preserve">ripresa non è sufficiente a </w:t>
      </w:r>
      <w:r w:rsidR="00557F39" w:rsidRPr="00172E71">
        <w:rPr>
          <w:rFonts w:ascii="Georgia" w:hAnsi="Georgia" w:cs="Arial"/>
          <w:color w:val="1F497D" w:themeColor="text2"/>
          <w:sz w:val="28"/>
          <w:szCs w:val="28"/>
        </w:rPr>
        <w:t>recuper</w:t>
      </w:r>
      <w:r w:rsidR="00252651" w:rsidRPr="00172E71">
        <w:rPr>
          <w:rFonts w:ascii="Georgia" w:hAnsi="Georgia" w:cs="Arial"/>
          <w:color w:val="1F497D" w:themeColor="text2"/>
          <w:sz w:val="28"/>
          <w:szCs w:val="28"/>
        </w:rPr>
        <w:t>are</w:t>
      </w:r>
      <w:r w:rsidR="00557F39" w:rsidRPr="00172E71">
        <w:rPr>
          <w:rFonts w:ascii="Georgia" w:hAnsi="Georgia" w:cs="Arial"/>
          <w:color w:val="1F497D" w:themeColor="text2"/>
          <w:sz w:val="28"/>
          <w:szCs w:val="28"/>
        </w:rPr>
        <w:t xml:space="preserve"> </w:t>
      </w:r>
      <w:r w:rsidR="006C4834" w:rsidRPr="006C4834">
        <w:rPr>
          <w:rFonts w:ascii="Georgia" w:hAnsi="Georgia" w:cs="Arial"/>
          <w:color w:val="1F497D" w:themeColor="text2"/>
          <w:sz w:val="28"/>
          <w:szCs w:val="28"/>
        </w:rPr>
        <w:t>quanto perso</w:t>
      </w:r>
      <w:r w:rsidR="00DB749C" w:rsidRPr="006C4834">
        <w:rPr>
          <w:rFonts w:ascii="Georgia" w:hAnsi="Georgia" w:cs="Arial"/>
          <w:color w:val="1F497D" w:themeColor="text2"/>
          <w:sz w:val="28"/>
          <w:szCs w:val="28"/>
        </w:rPr>
        <w:t xml:space="preserve"> n</w:t>
      </w:r>
      <w:r w:rsidR="00B253D5" w:rsidRPr="006C4834">
        <w:rPr>
          <w:rFonts w:ascii="Georgia" w:hAnsi="Georgia" w:cs="Arial"/>
          <w:color w:val="1F497D" w:themeColor="text2"/>
          <w:sz w:val="28"/>
          <w:szCs w:val="28"/>
        </w:rPr>
        <w:t>el</w:t>
      </w:r>
      <w:r w:rsidR="00434FF3" w:rsidRPr="006C4834">
        <w:rPr>
          <w:rFonts w:ascii="Georgia" w:hAnsi="Georgia" w:cs="Arial"/>
          <w:color w:val="1F497D" w:themeColor="text2"/>
          <w:sz w:val="28"/>
          <w:szCs w:val="28"/>
        </w:rPr>
        <w:t xml:space="preserve">l’anno </w:t>
      </w:r>
      <w:r w:rsidR="00434FF3" w:rsidRPr="009016A1">
        <w:rPr>
          <w:rFonts w:ascii="Georgia" w:hAnsi="Georgia" w:cs="Arial"/>
          <w:color w:val="1F497D"/>
          <w:sz w:val="28"/>
          <w:szCs w:val="28"/>
        </w:rPr>
        <w:t>precedente</w:t>
      </w:r>
      <w:r w:rsidR="00A27E26" w:rsidRPr="009016A1">
        <w:rPr>
          <w:rFonts w:ascii="Georgia" w:hAnsi="Georgia" w:cs="Arial"/>
          <w:color w:val="1F497D"/>
          <w:sz w:val="28"/>
          <w:szCs w:val="28"/>
        </w:rPr>
        <w:t xml:space="preserve">. </w:t>
      </w:r>
    </w:p>
    <w:p w14:paraId="7C78A4F3" w14:textId="4F9495CB" w:rsidR="000A3C52" w:rsidRPr="00172E71" w:rsidRDefault="006C3005" w:rsidP="00603E05">
      <w:pPr>
        <w:pStyle w:val="Default"/>
        <w:tabs>
          <w:tab w:val="left" w:pos="567"/>
        </w:tabs>
        <w:spacing w:after="120" w:line="360" w:lineRule="exact"/>
        <w:jc w:val="both"/>
        <w:rPr>
          <w:rFonts w:ascii="Georgia" w:hAnsi="Georgia" w:cs="Arial"/>
          <w:color w:val="1F497D"/>
          <w:sz w:val="28"/>
          <w:szCs w:val="28"/>
        </w:rPr>
      </w:pPr>
      <w:r w:rsidRPr="00DB749C">
        <w:rPr>
          <w:rFonts w:ascii="Georgia" w:hAnsi="Georgia" w:cs="Arial"/>
          <w:color w:val="1F497D"/>
          <w:sz w:val="28"/>
          <w:szCs w:val="28"/>
        </w:rPr>
        <w:t xml:space="preserve">Diminuiscono </w:t>
      </w:r>
      <w:r w:rsidR="00E54FAB">
        <w:rPr>
          <w:rFonts w:ascii="Georgia" w:hAnsi="Georgia" w:cs="Arial"/>
          <w:color w:val="1F497D"/>
          <w:sz w:val="28"/>
          <w:szCs w:val="28"/>
        </w:rPr>
        <w:t>anche</w:t>
      </w:r>
      <w:r w:rsidR="00A27E26" w:rsidRPr="00DB749C">
        <w:rPr>
          <w:rFonts w:ascii="Georgia" w:hAnsi="Georgia" w:cs="Arial"/>
          <w:color w:val="1F497D"/>
          <w:sz w:val="28"/>
          <w:szCs w:val="28"/>
        </w:rPr>
        <w:t xml:space="preserve"> </w:t>
      </w:r>
      <w:r w:rsidRPr="00DB749C">
        <w:rPr>
          <w:rFonts w:ascii="Georgia" w:hAnsi="Georgia" w:cs="Arial"/>
          <w:color w:val="1F497D"/>
          <w:sz w:val="28"/>
          <w:szCs w:val="28"/>
        </w:rPr>
        <w:t>le</w:t>
      </w:r>
      <w:r w:rsidRPr="00172E71">
        <w:rPr>
          <w:rFonts w:ascii="Georgia" w:hAnsi="Georgia" w:cs="Arial"/>
          <w:color w:val="1F497D"/>
          <w:sz w:val="28"/>
          <w:szCs w:val="28"/>
        </w:rPr>
        <w:t xml:space="preserve"> </w:t>
      </w:r>
      <w:r w:rsidRPr="00DB749C">
        <w:rPr>
          <w:rFonts w:ascii="Georgia" w:hAnsi="Georgia" w:cs="Arial"/>
          <w:color w:val="1F497D"/>
          <w:sz w:val="28"/>
          <w:szCs w:val="28"/>
        </w:rPr>
        <w:t>unioni civili</w:t>
      </w:r>
      <w:r w:rsidRPr="00172E71">
        <w:rPr>
          <w:rFonts w:ascii="Georgia" w:hAnsi="Georgia" w:cs="Arial"/>
          <w:color w:val="1F497D"/>
          <w:sz w:val="28"/>
          <w:szCs w:val="28"/>
        </w:rPr>
        <w:t xml:space="preserve"> </w:t>
      </w:r>
      <w:r w:rsidR="00A27E26" w:rsidRPr="00172E71">
        <w:rPr>
          <w:rFonts w:ascii="Georgia" w:hAnsi="Georgia" w:cs="Arial"/>
          <w:color w:val="1F497D"/>
          <w:sz w:val="28"/>
          <w:szCs w:val="28"/>
        </w:rPr>
        <w:t xml:space="preserve">tra partner dello stesso sesso </w:t>
      </w:r>
      <w:r w:rsidRPr="00172E71">
        <w:rPr>
          <w:rFonts w:ascii="Georgia" w:hAnsi="Georgia" w:cs="Arial"/>
          <w:color w:val="1F497D"/>
          <w:sz w:val="28"/>
          <w:szCs w:val="28"/>
        </w:rPr>
        <w:t>(-</w:t>
      </w:r>
      <w:r w:rsidR="007B76C2" w:rsidRPr="00172E71">
        <w:rPr>
          <w:rFonts w:ascii="Georgia" w:hAnsi="Georgia" w:cs="Arial"/>
          <w:color w:val="1F497D"/>
          <w:sz w:val="28"/>
          <w:szCs w:val="28"/>
        </w:rPr>
        <w:t>33,0</w:t>
      </w:r>
      <w:r w:rsidRPr="00172E71">
        <w:rPr>
          <w:rFonts w:ascii="Georgia" w:hAnsi="Georgia" w:cs="Arial"/>
          <w:color w:val="1F497D"/>
          <w:sz w:val="28"/>
          <w:szCs w:val="28"/>
        </w:rPr>
        <w:t>%)</w:t>
      </w:r>
      <w:r w:rsidR="004E1B65">
        <w:rPr>
          <w:rFonts w:ascii="Georgia" w:hAnsi="Georgia" w:cs="Arial"/>
          <w:color w:val="1F497D"/>
          <w:sz w:val="28"/>
          <w:szCs w:val="28"/>
        </w:rPr>
        <w:t xml:space="preserve">, </w:t>
      </w:r>
      <w:r w:rsidR="004E1B65" w:rsidRPr="00172E71">
        <w:rPr>
          <w:rFonts w:ascii="Georgia" w:hAnsi="Georgia" w:cs="Arial"/>
          <w:color w:val="1F497D" w:themeColor="text2"/>
          <w:sz w:val="28"/>
          <w:szCs w:val="28"/>
        </w:rPr>
        <w:t>le separazioni</w:t>
      </w:r>
      <w:r w:rsidR="004E1B65">
        <w:rPr>
          <w:rFonts w:ascii="Georgia" w:hAnsi="Georgia" w:cs="Arial"/>
          <w:color w:val="1F497D" w:themeColor="text2"/>
          <w:sz w:val="28"/>
          <w:szCs w:val="28"/>
        </w:rPr>
        <w:t xml:space="preserve"> </w:t>
      </w:r>
      <w:r w:rsidR="004E1B65" w:rsidRPr="00172E71">
        <w:rPr>
          <w:rFonts w:ascii="Georgia" w:hAnsi="Georgia" w:cs="Arial"/>
          <w:color w:val="1F497D" w:themeColor="text2"/>
          <w:sz w:val="28"/>
          <w:szCs w:val="28"/>
        </w:rPr>
        <w:t>(-18,0%</w:t>
      </w:r>
      <w:r w:rsidR="004E1B65">
        <w:rPr>
          <w:rFonts w:ascii="Georgia" w:hAnsi="Georgia" w:cs="Arial"/>
          <w:color w:val="1F497D" w:themeColor="text2"/>
          <w:sz w:val="28"/>
          <w:szCs w:val="28"/>
        </w:rPr>
        <w:t xml:space="preserve">) e </w:t>
      </w:r>
      <w:r w:rsidR="004E1B65" w:rsidRPr="00172E71">
        <w:rPr>
          <w:rFonts w:ascii="Georgia" w:hAnsi="Georgia" w:cs="Arial"/>
          <w:color w:val="1F497D" w:themeColor="text2"/>
          <w:sz w:val="28"/>
          <w:szCs w:val="28"/>
        </w:rPr>
        <w:t>i divorzi</w:t>
      </w:r>
      <w:r w:rsidR="004E1B65" w:rsidRPr="007E68AF">
        <w:rPr>
          <w:rFonts w:ascii="Georgia" w:hAnsi="Georgia" w:cs="Arial"/>
          <w:color w:val="1F497D" w:themeColor="text2"/>
          <w:sz w:val="28"/>
          <w:szCs w:val="28"/>
        </w:rPr>
        <w:t xml:space="preserve"> </w:t>
      </w:r>
      <w:r w:rsidR="004E1B65" w:rsidRPr="00172E71">
        <w:rPr>
          <w:rFonts w:ascii="Georgia" w:hAnsi="Georgia" w:cs="Arial"/>
          <w:color w:val="1F497D" w:themeColor="text2"/>
          <w:sz w:val="28"/>
          <w:szCs w:val="28"/>
        </w:rPr>
        <w:t>(-21,9%</w:t>
      </w:r>
      <w:r w:rsidR="004E1B65">
        <w:rPr>
          <w:rFonts w:ascii="Georgia" w:hAnsi="Georgia" w:cs="Arial"/>
          <w:bCs/>
          <w:color w:val="1F497D" w:themeColor="text2"/>
          <w:sz w:val="28"/>
          <w:szCs w:val="28"/>
        </w:rPr>
        <w:t>)</w:t>
      </w:r>
      <w:r w:rsidRPr="00172E71">
        <w:rPr>
          <w:rFonts w:ascii="Georgia" w:hAnsi="Georgia" w:cs="Arial"/>
          <w:color w:val="1F497D"/>
          <w:sz w:val="28"/>
          <w:szCs w:val="28"/>
        </w:rPr>
        <w:t>.</w:t>
      </w:r>
      <w:r w:rsidR="00FA36AC" w:rsidRPr="00172E71">
        <w:rPr>
          <w:rFonts w:ascii="Georgia" w:hAnsi="Georgia" w:cs="Arial"/>
          <w:color w:val="1F497D" w:themeColor="text2"/>
          <w:sz w:val="28"/>
          <w:szCs w:val="28"/>
        </w:rPr>
        <w:t xml:space="preserve"> </w:t>
      </w:r>
    </w:p>
    <w:p w14:paraId="33ACEA19" w14:textId="1B5774BA" w:rsidR="00DD0A03" w:rsidRDefault="00DD0A03" w:rsidP="009016A1">
      <w:pPr>
        <w:pStyle w:val="Default"/>
        <w:tabs>
          <w:tab w:val="left" w:pos="567"/>
        </w:tabs>
        <w:spacing w:after="120"/>
        <w:jc w:val="both"/>
        <w:rPr>
          <w:rFonts w:ascii="Georgia" w:hAnsi="Georgia" w:cs="Arial"/>
          <w:bCs/>
          <w:color w:val="1F497D" w:themeColor="text2"/>
          <w:sz w:val="28"/>
          <w:szCs w:val="28"/>
        </w:rPr>
      </w:pPr>
    </w:p>
    <w:p w14:paraId="0525BD58" w14:textId="77777777" w:rsidR="004E1B65" w:rsidRPr="00D341CD" w:rsidRDefault="004E1B65" w:rsidP="009016A1">
      <w:pPr>
        <w:pStyle w:val="Default"/>
        <w:tabs>
          <w:tab w:val="left" w:pos="567"/>
        </w:tabs>
        <w:spacing w:after="120"/>
        <w:jc w:val="both"/>
        <w:rPr>
          <w:rFonts w:ascii="Georgia" w:hAnsi="Georgia" w:cs="Arial"/>
          <w:bCs/>
          <w:color w:val="1F497D" w:themeColor="text2"/>
          <w:sz w:val="28"/>
          <w:szCs w:val="28"/>
        </w:rPr>
      </w:pPr>
    </w:p>
    <w:tbl>
      <w:tblPr>
        <w:tblStyle w:val="Grigliatabella"/>
        <w:tblW w:w="11925" w:type="dxa"/>
        <w:tblInd w:w="-85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3909"/>
        <w:gridCol w:w="3795"/>
        <w:gridCol w:w="4221"/>
      </w:tblGrid>
      <w:tr w:rsidR="007E6EAA" w14:paraId="13883145" w14:textId="77777777" w:rsidTr="00C21635">
        <w:trPr>
          <w:trHeight w:val="61"/>
        </w:trPr>
        <w:tc>
          <w:tcPr>
            <w:tcW w:w="11925" w:type="dxa"/>
            <w:gridSpan w:val="3"/>
            <w:shd w:val="clear" w:color="auto" w:fill="D9D9D9" w:themeFill="background1" w:themeFillShade="D9"/>
          </w:tcPr>
          <w:p w14:paraId="06F22BD5" w14:textId="569B85FE" w:rsidR="003A460A" w:rsidRPr="007539EA" w:rsidRDefault="003A460A" w:rsidP="00D37ABF">
            <w:pPr>
              <w:tabs>
                <w:tab w:val="left" w:pos="1401"/>
                <w:tab w:val="left" w:pos="2295"/>
              </w:tabs>
              <w:autoSpaceDE w:val="0"/>
              <w:autoSpaceDN w:val="0"/>
              <w:adjustRightInd w:val="0"/>
              <w:rPr>
                <w:rFonts w:ascii="Georgia" w:hAnsi="Georgia" w:cs="Arial"/>
                <w:b/>
                <w:bCs/>
                <w:color w:val="1F497D" w:themeColor="text2"/>
                <w:sz w:val="16"/>
                <w:szCs w:val="16"/>
              </w:rPr>
            </w:pPr>
          </w:p>
        </w:tc>
      </w:tr>
      <w:tr w:rsidR="001A62B5" w:rsidRPr="001A62B5" w14:paraId="48D6EE13" w14:textId="77777777" w:rsidTr="00C21635">
        <w:trPr>
          <w:trHeight w:val="3433"/>
        </w:trPr>
        <w:tc>
          <w:tcPr>
            <w:tcW w:w="3909" w:type="dxa"/>
            <w:shd w:val="clear" w:color="auto" w:fill="D9D9D9" w:themeFill="background1" w:themeFillShade="D9"/>
          </w:tcPr>
          <w:p w14:paraId="069F0E26" w14:textId="403BE939" w:rsidR="00B17555" w:rsidRPr="00DA088F" w:rsidRDefault="00160774" w:rsidP="00DB749C">
            <w:pPr>
              <w:tabs>
                <w:tab w:val="left" w:pos="312"/>
                <w:tab w:val="left" w:pos="2575"/>
              </w:tabs>
              <w:autoSpaceDE w:val="0"/>
              <w:autoSpaceDN w:val="0"/>
              <w:adjustRightInd w:val="0"/>
              <w:ind w:left="312" w:right="570"/>
              <w:rPr>
                <w:rFonts w:ascii="Georgia" w:hAnsi="Georgia" w:cs="Arial"/>
                <w:bCs/>
                <w:color w:val="E42618"/>
                <w:sz w:val="84"/>
                <w:szCs w:val="84"/>
              </w:rPr>
            </w:pPr>
            <w:r w:rsidRPr="00DA088F">
              <w:rPr>
                <w:rFonts w:ascii="Georgia" w:hAnsi="Georgia" w:cs="Arial"/>
                <w:bCs/>
                <w:color w:val="E42618"/>
                <w:sz w:val="84"/>
                <w:szCs w:val="84"/>
              </w:rPr>
              <w:t>69.743</w:t>
            </w:r>
          </w:p>
          <w:p w14:paraId="1EEE7A89" w14:textId="77777777" w:rsidR="00B17555" w:rsidRPr="00DA088F" w:rsidRDefault="00B17555" w:rsidP="00DB749C">
            <w:pPr>
              <w:tabs>
                <w:tab w:val="left" w:pos="171"/>
              </w:tabs>
              <w:autoSpaceDE w:val="0"/>
              <w:autoSpaceDN w:val="0"/>
              <w:adjustRightInd w:val="0"/>
              <w:ind w:left="312"/>
              <w:rPr>
                <w:rFonts w:ascii="Georgia" w:hAnsi="Georgia" w:cs="Arial"/>
                <w:b/>
                <w:bCs/>
                <w:color w:val="1F497D" w:themeColor="text2"/>
                <w:sz w:val="26"/>
                <w:szCs w:val="26"/>
              </w:rPr>
            </w:pPr>
          </w:p>
          <w:p w14:paraId="1C16F27F" w14:textId="12437067" w:rsidR="00A519F5" w:rsidRPr="00DA088F" w:rsidRDefault="006F210F" w:rsidP="00DB749C">
            <w:pPr>
              <w:tabs>
                <w:tab w:val="left" w:pos="171"/>
                <w:tab w:val="left" w:pos="454"/>
                <w:tab w:val="left" w:pos="2575"/>
              </w:tabs>
              <w:autoSpaceDE w:val="0"/>
              <w:autoSpaceDN w:val="0"/>
              <w:adjustRightInd w:val="0"/>
              <w:ind w:left="312" w:right="570"/>
              <w:rPr>
                <w:rFonts w:ascii="Georgia" w:hAnsi="Georgia" w:cs="Arial"/>
                <w:b/>
                <w:bCs/>
                <w:color w:val="E42618"/>
                <w:sz w:val="26"/>
                <w:szCs w:val="26"/>
              </w:rPr>
            </w:pPr>
            <w:r w:rsidRPr="00DA088F">
              <w:rPr>
                <w:rFonts w:ascii="Georgia" w:hAnsi="Georgia" w:cs="Arial"/>
                <w:b/>
                <w:bCs/>
                <w:color w:val="E42618"/>
                <w:sz w:val="26"/>
                <w:szCs w:val="26"/>
              </w:rPr>
              <w:t>I p</w:t>
            </w:r>
            <w:r w:rsidR="006B399C" w:rsidRPr="00DA088F">
              <w:rPr>
                <w:rFonts w:ascii="Georgia" w:hAnsi="Georgia" w:cs="Arial"/>
                <w:b/>
                <w:bCs/>
                <w:color w:val="E42618"/>
                <w:sz w:val="26"/>
                <w:szCs w:val="26"/>
              </w:rPr>
              <w:t>rimi matrimoni</w:t>
            </w:r>
            <w:r w:rsidR="00F4216E" w:rsidRPr="00DA088F">
              <w:rPr>
                <w:rFonts w:ascii="Georgia" w:hAnsi="Georgia" w:cs="Arial"/>
                <w:b/>
                <w:bCs/>
                <w:color w:val="E42618"/>
                <w:sz w:val="26"/>
                <w:szCs w:val="26"/>
              </w:rPr>
              <w:t xml:space="preserve"> </w:t>
            </w:r>
            <w:r w:rsidR="004E1B65">
              <w:rPr>
                <w:rFonts w:ascii="Georgia" w:hAnsi="Georgia" w:cs="Arial"/>
                <w:b/>
                <w:bCs/>
                <w:color w:val="E42618"/>
                <w:sz w:val="26"/>
                <w:szCs w:val="26"/>
              </w:rPr>
              <w:t>n</w:t>
            </w:r>
            <w:r w:rsidR="00F4216E" w:rsidRPr="00DA088F">
              <w:rPr>
                <w:rFonts w:ascii="Georgia" w:hAnsi="Georgia" w:cs="Arial"/>
                <w:b/>
                <w:bCs/>
                <w:color w:val="E42618"/>
                <w:sz w:val="26"/>
                <w:szCs w:val="26"/>
              </w:rPr>
              <w:t>el 2020</w:t>
            </w:r>
            <w:r w:rsidR="006B399C" w:rsidRPr="00DA088F">
              <w:rPr>
                <w:rFonts w:ascii="Georgia" w:hAnsi="Georgia" w:cs="Arial"/>
                <w:b/>
                <w:bCs/>
                <w:color w:val="E42618"/>
                <w:sz w:val="26"/>
                <w:szCs w:val="26"/>
              </w:rPr>
              <w:t>, meno della metà rispetto al 2019</w:t>
            </w:r>
            <w:r w:rsidR="00F00AD6" w:rsidRPr="00DA088F">
              <w:rPr>
                <w:rFonts w:ascii="Georgia" w:hAnsi="Georgia" w:cs="Arial"/>
                <w:b/>
                <w:bCs/>
                <w:color w:val="E42618"/>
                <w:sz w:val="26"/>
                <w:szCs w:val="26"/>
              </w:rPr>
              <w:t xml:space="preserve">. </w:t>
            </w:r>
          </w:p>
          <w:p w14:paraId="3C62786F" w14:textId="77777777" w:rsidR="00A519F5" w:rsidRPr="00DA088F" w:rsidRDefault="00A519F5" w:rsidP="00791272">
            <w:pPr>
              <w:tabs>
                <w:tab w:val="left" w:pos="171"/>
                <w:tab w:val="left" w:pos="454"/>
                <w:tab w:val="left" w:pos="2575"/>
              </w:tabs>
              <w:autoSpaceDE w:val="0"/>
              <w:autoSpaceDN w:val="0"/>
              <w:adjustRightInd w:val="0"/>
              <w:ind w:left="312" w:right="570"/>
              <w:rPr>
                <w:rFonts w:ascii="Georgia" w:hAnsi="Georgia" w:cs="Arial"/>
                <w:b/>
                <w:bCs/>
                <w:color w:val="E42618"/>
                <w:sz w:val="26"/>
                <w:szCs w:val="26"/>
              </w:rPr>
            </w:pPr>
          </w:p>
          <w:p w14:paraId="02FB1E3B" w14:textId="365C1E33" w:rsidR="004557DE" w:rsidRPr="009016A1" w:rsidRDefault="00CD19E1" w:rsidP="00DB749C">
            <w:pPr>
              <w:tabs>
                <w:tab w:val="left" w:pos="851"/>
                <w:tab w:val="left" w:pos="2575"/>
              </w:tabs>
              <w:autoSpaceDE w:val="0"/>
              <w:autoSpaceDN w:val="0"/>
              <w:adjustRightInd w:val="0"/>
              <w:ind w:left="312" w:right="570"/>
              <w:rPr>
                <w:rFonts w:ascii="Georgia" w:hAnsi="Georgia" w:cs="Arial"/>
                <w:b/>
                <w:bCs/>
                <w:color w:val="1F497D"/>
                <w:sz w:val="26"/>
                <w:szCs w:val="26"/>
              </w:rPr>
            </w:pPr>
            <w:r w:rsidRPr="009016A1">
              <w:rPr>
                <w:rFonts w:ascii="Arial Narrow" w:hAnsi="Arial Narrow" w:cs="Arial"/>
                <w:bCs/>
                <w:color w:val="1F497D"/>
              </w:rPr>
              <w:t xml:space="preserve">In </w:t>
            </w:r>
            <w:r w:rsidR="00DB749C" w:rsidRPr="009016A1">
              <w:rPr>
                <w:rFonts w:ascii="Arial Narrow" w:hAnsi="Arial Narrow" w:cs="Arial"/>
                <w:bCs/>
                <w:color w:val="1F497D"/>
              </w:rPr>
              <w:t>aumento</w:t>
            </w:r>
            <w:r w:rsidRPr="009016A1">
              <w:rPr>
                <w:rFonts w:ascii="Arial Narrow" w:hAnsi="Arial Narrow" w:cs="Arial"/>
                <w:bCs/>
                <w:color w:val="1F497D"/>
              </w:rPr>
              <w:t xml:space="preserve"> n</w:t>
            </w:r>
            <w:r w:rsidR="004557DE" w:rsidRPr="009016A1">
              <w:rPr>
                <w:rFonts w:ascii="Arial Narrow" w:hAnsi="Arial Narrow" w:cs="Arial"/>
                <w:bCs/>
                <w:color w:val="1F497D"/>
              </w:rPr>
              <w:t>e</w:t>
            </w:r>
            <w:r w:rsidR="00EB20D7" w:rsidRPr="009016A1">
              <w:rPr>
                <w:rFonts w:ascii="Arial Narrow" w:hAnsi="Arial Narrow" w:cs="Arial"/>
                <w:bCs/>
                <w:color w:val="1F497D"/>
              </w:rPr>
              <w:t>i</w:t>
            </w:r>
            <w:r w:rsidR="004557DE" w:rsidRPr="009016A1">
              <w:rPr>
                <w:rFonts w:ascii="Arial Narrow" w:hAnsi="Arial Narrow" w:cs="Arial"/>
                <w:bCs/>
                <w:color w:val="1F497D"/>
              </w:rPr>
              <w:t xml:space="preserve"> </w:t>
            </w:r>
            <w:r w:rsidR="00EB20D7" w:rsidRPr="009016A1">
              <w:rPr>
                <w:rFonts w:ascii="Arial Narrow" w:hAnsi="Arial Narrow" w:cs="Arial"/>
                <w:bCs/>
                <w:color w:val="1F497D"/>
              </w:rPr>
              <w:t xml:space="preserve">primi nove mesi del </w:t>
            </w:r>
            <w:r w:rsidR="004557DE" w:rsidRPr="009016A1">
              <w:rPr>
                <w:rFonts w:ascii="Arial Narrow" w:hAnsi="Arial Narrow" w:cs="Arial"/>
                <w:bCs/>
                <w:color w:val="1F497D"/>
              </w:rPr>
              <w:t>2021</w:t>
            </w:r>
            <w:r w:rsidR="00D341CD" w:rsidRPr="009016A1">
              <w:rPr>
                <w:rFonts w:ascii="Arial Narrow" w:hAnsi="Arial Narrow" w:cs="Arial"/>
                <w:bCs/>
                <w:color w:val="1F497D"/>
              </w:rPr>
              <w:t xml:space="preserve">, ma </w:t>
            </w:r>
            <w:r w:rsidRPr="009016A1">
              <w:rPr>
                <w:rFonts w:ascii="Arial Narrow" w:hAnsi="Arial Narrow" w:cs="Arial"/>
                <w:bCs/>
                <w:color w:val="1F497D"/>
              </w:rPr>
              <w:t xml:space="preserve">ancora </w:t>
            </w:r>
            <w:r w:rsidR="00D341CD" w:rsidRPr="009016A1">
              <w:rPr>
                <w:rFonts w:ascii="Arial Narrow" w:hAnsi="Arial Narrow" w:cs="Arial"/>
                <w:bCs/>
                <w:color w:val="1F497D"/>
              </w:rPr>
              <w:t>-</w:t>
            </w:r>
            <w:r w:rsidR="004557DE" w:rsidRPr="009016A1">
              <w:rPr>
                <w:rFonts w:ascii="Arial Narrow" w:hAnsi="Arial Narrow" w:cs="Arial"/>
                <w:bCs/>
                <w:color w:val="1F497D"/>
              </w:rPr>
              <w:t>5,4%</w:t>
            </w:r>
            <w:r w:rsidR="00D341CD" w:rsidRPr="009016A1">
              <w:rPr>
                <w:rFonts w:ascii="Arial Narrow" w:hAnsi="Arial Narrow" w:cs="Arial"/>
                <w:bCs/>
                <w:color w:val="1F497D"/>
              </w:rPr>
              <w:t xml:space="preserve"> </w:t>
            </w:r>
            <w:r w:rsidRPr="009016A1">
              <w:rPr>
                <w:rFonts w:ascii="Arial Narrow" w:hAnsi="Arial Narrow" w:cs="Arial"/>
                <w:bCs/>
                <w:color w:val="1F497D"/>
              </w:rPr>
              <w:t xml:space="preserve">sul </w:t>
            </w:r>
            <w:r w:rsidR="00D341CD" w:rsidRPr="009016A1">
              <w:rPr>
                <w:rFonts w:ascii="Arial Narrow" w:hAnsi="Arial Narrow" w:cs="Arial"/>
                <w:bCs/>
                <w:color w:val="1F497D"/>
              </w:rPr>
              <w:t>2019</w:t>
            </w:r>
            <w:r w:rsidR="004E1B65" w:rsidRPr="009016A1">
              <w:rPr>
                <w:rFonts w:ascii="Arial Narrow" w:hAnsi="Arial Narrow" w:cs="Arial"/>
                <w:bCs/>
                <w:color w:val="1F497D"/>
              </w:rPr>
              <w:t>.</w:t>
            </w:r>
          </w:p>
          <w:p w14:paraId="7C7CE806" w14:textId="4C7015A4" w:rsidR="007E6EAA" w:rsidRPr="00DA088F" w:rsidRDefault="007E6EAA" w:rsidP="004557DE">
            <w:pPr>
              <w:tabs>
                <w:tab w:val="left" w:pos="171"/>
                <w:tab w:val="left" w:pos="2575"/>
              </w:tabs>
              <w:autoSpaceDE w:val="0"/>
              <w:autoSpaceDN w:val="0"/>
              <w:adjustRightInd w:val="0"/>
              <w:ind w:right="570"/>
              <w:rPr>
                <w:rFonts w:ascii="Arial Narrow" w:hAnsi="Arial Narrow" w:cs="Arial"/>
                <w:bCs/>
                <w:color w:val="E42618"/>
              </w:rPr>
            </w:pPr>
          </w:p>
        </w:tc>
        <w:tc>
          <w:tcPr>
            <w:tcW w:w="3795" w:type="dxa"/>
            <w:shd w:val="clear" w:color="auto" w:fill="D9D9D9" w:themeFill="background1" w:themeFillShade="D9"/>
          </w:tcPr>
          <w:p w14:paraId="698C65D2" w14:textId="3ABFD130" w:rsidR="00DD61BC" w:rsidRPr="009016A1" w:rsidRDefault="006B399C" w:rsidP="008D79A1">
            <w:pPr>
              <w:tabs>
                <w:tab w:val="left" w:pos="851"/>
                <w:tab w:val="left" w:pos="2575"/>
              </w:tabs>
              <w:autoSpaceDE w:val="0"/>
              <w:autoSpaceDN w:val="0"/>
              <w:adjustRightInd w:val="0"/>
              <w:ind w:left="171" w:right="570"/>
              <w:rPr>
                <w:rFonts w:ascii="Georgia" w:hAnsi="Georgia" w:cs="Arial"/>
                <w:bCs/>
                <w:color w:val="1F497D"/>
                <w:sz w:val="88"/>
                <w:szCs w:val="88"/>
              </w:rPr>
            </w:pPr>
            <w:r w:rsidRPr="009016A1">
              <w:rPr>
                <w:rFonts w:ascii="Georgia" w:hAnsi="Georgia" w:cs="Arial"/>
                <w:bCs/>
                <w:color w:val="1F497D"/>
                <w:sz w:val="88"/>
                <w:szCs w:val="88"/>
              </w:rPr>
              <w:t>1</w:t>
            </w:r>
            <w:r w:rsidR="003677D9" w:rsidRPr="009016A1">
              <w:rPr>
                <w:rFonts w:ascii="Georgia" w:hAnsi="Georgia" w:cs="Arial"/>
                <w:bCs/>
                <w:color w:val="1F497D"/>
                <w:sz w:val="88"/>
                <w:szCs w:val="88"/>
              </w:rPr>
              <w:t>.</w:t>
            </w:r>
            <w:r w:rsidRPr="009016A1">
              <w:rPr>
                <w:rFonts w:ascii="Georgia" w:hAnsi="Georgia" w:cs="Arial"/>
                <w:bCs/>
                <w:color w:val="1F497D"/>
                <w:sz w:val="88"/>
                <w:szCs w:val="88"/>
              </w:rPr>
              <w:t>539</w:t>
            </w:r>
          </w:p>
          <w:p w14:paraId="4A2B23CC" w14:textId="77777777" w:rsidR="00DD61BC" w:rsidRPr="009016A1" w:rsidRDefault="00DD61BC" w:rsidP="009016A1">
            <w:pPr>
              <w:tabs>
                <w:tab w:val="left" w:pos="0"/>
                <w:tab w:val="left" w:pos="2575"/>
              </w:tabs>
              <w:autoSpaceDE w:val="0"/>
              <w:autoSpaceDN w:val="0"/>
              <w:adjustRightInd w:val="0"/>
              <w:ind w:right="570"/>
              <w:rPr>
                <w:rFonts w:ascii="Georgia" w:hAnsi="Georgia" w:cs="Arial"/>
                <w:b/>
                <w:bCs/>
                <w:color w:val="1F497D"/>
                <w:sz w:val="22"/>
                <w:szCs w:val="22"/>
              </w:rPr>
            </w:pPr>
          </w:p>
          <w:p w14:paraId="74092245" w14:textId="76BE25FE" w:rsidR="00DD61BC" w:rsidRPr="009016A1" w:rsidRDefault="009B4429" w:rsidP="008D79A1">
            <w:pPr>
              <w:tabs>
                <w:tab w:val="left" w:pos="851"/>
                <w:tab w:val="left" w:pos="2575"/>
              </w:tabs>
              <w:autoSpaceDE w:val="0"/>
              <w:autoSpaceDN w:val="0"/>
              <w:adjustRightInd w:val="0"/>
              <w:ind w:left="171" w:right="570"/>
              <w:rPr>
                <w:rFonts w:ascii="Georgia" w:hAnsi="Georgia" w:cs="Arial"/>
                <w:b/>
                <w:bCs/>
                <w:color w:val="1F497D"/>
                <w:sz w:val="26"/>
                <w:szCs w:val="26"/>
              </w:rPr>
            </w:pPr>
            <w:r w:rsidRPr="009016A1">
              <w:rPr>
                <w:rFonts w:ascii="Georgia" w:hAnsi="Georgia" w:cs="Arial"/>
                <w:b/>
                <w:bCs/>
                <w:color w:val="1F497D"/>
                <w:sz w:val="26"/>
                <w:szCs w:val="26"/>
              </w:rPr>
              <w:t>Le</w:t>
            </w:r>
            <w:r w:rsidR="006D1D66" w:rsidRPr="009016A1">
              <w:rPr>
                <w:rFonts w:ascii="Georgia" w:hAnsi="Georgia" w:cs="Arial"/>
                <w:b/>
                <w:bCs/>
                <w:color w:val="1F497D"/>
                <w:sz w:val="26"/>
                <w:szCs w:val="26"/>
              </w:rPr>
              <w:t xml:space="preserve"> </w:t>
            </w:r>
            <w:r w:rsidR="003677D9" w:rsidRPr="009016A1">
              <w:rPr>
                <w:rFonts w:ascii="Georgia" w:hAnsi="Georgia" w:cs="Arial"/>
                <w:b/>
                <w:bCs/>
                <w:color w:val="1F497D"/>
                <w:sz w:val="26"/>
                <w:szCs w:val="26"/>
              </w:rPr>
              <w:t>unioni</w:t>
            </w:r>
            <w:r w:rsidR="006D1D66" w:rsidRPr="009016A1">
              <w:rPr>
                <w:rFonts w:ascii="Georgia" w:hAnsi="Georgia" w:cs="Arial"/>
                <w:b/>
                <w:bCs/>
                <w:color w:val="1F497D"/>
                <w:sz w:val="26"/>
                <w:szCs w:val="26"/>
              </w:rPr>
              <w:t xml:space="preserve"> </w:t>
            </w:r>
            <w:r w:rsidR="00C43EAB" w:rsidRPr="009016A1">
              <w:rPr>
                <w:rFonts w:ascii="Georgia" w:hAnsi="Georgia" w:cs="Arial"/>
                <w:b/>
                <w:bCs/>
                <w:color w:val="1F497D"/>
                <w:sz w:val="26"/>
                <w:szCs w:val="26"/>
              </w:rPr>
              <w:t xml:space="preserve">tra partner </w:t>
            </w:r>
            <w:r w:rsidR="006D1D66" w:rsidRPr="009016A1">
              <w:rPr>
                <w:rFonts w:ascii="Georgia" w:hAnsi="Georgia" w:cs="Arial"/>
                <w:b/>
                <w:bCs/>
                <w:color w:val="1F497D"/>
                <w:sz w:val="26"/>
                <w:szCs w:val="26"/>
              </w:rPr>
              <w:t>dello stesso sesso</w:t>
            </w:r>
            <w:r w:rsidR="00D341CD" w:rsidRPr="009016A1">
              <w:rPr>
                <w:rFonts w:ascii="Georgia" w:hAnsi="Georgia" w:cs="Arial"/>
                <w:b/>
                <w:bCs/>
                <w:color w:val="1F497D"/>
                <w:sz w:val="26"/>
                <w:szCs w:val="26"/>
              </w:rPr>
              <w:t xml:space="preserve">, un terzo in meno </w:t>
            </w:r>
            <w:r w:rsidR="004E1B65" w:rsidRPr="009016A1">
              <w:rPr>
                <w:rFonts w:ascii="Georgia" w:hAnsi="Georgia" w:cs="Arial"/>
                <w:b/>
                <w:bCs/>
                <w:color w:val="1F497D"/>
                <w:sz w:val="26"/>
                <w:szCs w:val="26"/>
              </w:rPr>
              <w:t>dell’anno precedente</w:t>
            </w:r>
          </w:p>
          <w:p w14:paraId="43E39BA7" w14:textId="77777777" w:rsidR="006D1D66" w:rsidRPr="00DA088F" w:rsidRDefault="006D1D66" w:rsidP="006D1D66">
            <w:pPr>
              <w:tabs>
                <w:tab w:val="left" w:pos="0"/>
              </w:tabs>
              <w:autoSpaceDE w:val="0"/>
              <w:autoSpaceDN w:val="0"/>
              <w:adjustRightInd w:val="0"/>
              <w:rPr>
                <w:rFonts w:ascii="Georgia" w:hAnsi="Georgia" w:cs="Arial"/>
                <w:b/>
                <w:bCs/>
                <w:color w:val="244061" w:themeColor="accent1" w:themeShade="80"/>
                <w:sz w:val="28"/>
                <w:szCs w:val="28"/>
              </w:rPr>
            </w:pPr>
          </w:p>
          <w:p w14:paraId="498C4350" w14:textId="0EC4EC86" w:rsidR="006D1D66" w:rsidRPr="00DA088F" w:rsidRDefault="006D1D66" w:rsidP="00791272">
            <w:pPr>
              <w:tabs>
                <w:tab w:val="left" w:pos="851"/>
                <w:tab w:val="left" w:pos="2575"/>
              </w:tabs>
              <w:autoSpaceDE w:val="0"/>
              <w:autoSpaceDN w:val="0"/>
              <w:adjustRightInd w:val="0"/>
              <w:ind w:right="570"/>
              <w:rPr>
                <w:rFonts w:ascii="Georgia" w:hAnsi="Georgia" w:cs="Arial"/>
                <w:b/>
                <w:bCs/>
                <w:color w:val="244061" w:themeColor="accent1" w:themeShade="80"/>
                <w:sz w:val="28"/>
                <w:szCs w:val="28"/>
              </w:rPr>
            </w:pPr>
          </w:p>
        </w:tc>
        <w:tc>
          <w:tcPr>
            <w:tcW w:w="4220" w:type="dxa"/>
            <w:shd w:val="clear" w:color="auto" w:fill="D9D9D9" w:themeFill="background1" w:themeFillShade="D9"/>
            <w:tcMar>
              <w:left w:w="284" w:type="dxa"/>
              <w:right w:w="284" w:type="dxa"/>
            </w:tcMar>
          </w:tcPr>
          <w:p w14:paraId="406A0C68" w14:textId="0B2D7324" w:rsidR="00C233B1" w:rsidRDefault="009B4429" w:rsidP="00655188">
            <w:pPr>
              <w:tabs>
                <w:tab w:val="left" w:pos="851"/>
                <w:tab w:val="left" w:pos="2575"/>
              </w:tabs>
              <w:autoSpaceDE w:val="0"/>
              <w:autoSpaceDN w:val="0"/>
              <w:adjustRightInd w:val="0"/>
              <w:ind w:right="570"/>
              <w:rPr>
                <w:rFonts w:ascii="Georgia" w:hAnsi="Georgia" w:cs="Arial"/>
                <w:bCs/>
                <w:color w:val="E42618"/>
                <w:sz w:val="88"/>
                <w:szCs w:val="88"/>
              </w:rPr>
            </w:pPr>
            <w:r w:rsidRPr="00DA088F">
              <w:rPr>
                <w:rFonts w:ascii="Georgia" w:hAnsi="Georgia" w:cs="Arial"/>
                <w:bCs/>
                <w:color w:val="E42618"/>
                <w:sz w:val="88"/>
                <w:szCs w:val="88"/>
              </w:rPr>
              <w:t>1</w:t>
            </w:r>
            <w:r w:rsidR="00AC0DE5" w:rsidRPr="00DA088F">
              <w:rPr>
                <w:rFonts w:ascii="Georgia" w:hAnsi="Georgia" w:cs="Arial"/>
                <w:bCs/>
                <w:color w:val="E42618"/>
                <w:sz w:val="88"/>
                <w:szCs w:val="88"/>
              </w:rPr>
              <w:t>5</w:t>
            </w:r>
            <w:r w:rsidRPr="00DA088F">
              <w:rPr>
                <w:rFonts w:ascii="Georgia" w:hAnsi="Georgia" w:cs="Arial"/>
                <w:bCs/>
                <w:color w:val="E42618"/>
                <w:sz w:val="88"/>
                <w:szCs w:val="88"/>
              </w:rPr>
              <w:t>.</w:t>
            </w:r>
            <w:r w:rsidR="00AC0DE5" w:rsidRPr="00DA088F">
              <w:rPr>
                <w:rFonts w:ascii="Georgia" w:hAnsi="Georgia" w:cs="Arial"/>
                <w:bCs/>
                <w:color w:val="E42618"/>
                <w:sz w:val="88"/>
                <w:szCs w:val="88"/>
              </w:rPr>
              <w:t>467</w:t>
            </w:r>
          </w:p>
          <w:p w14:paraId="10C76733" w14:textId="77777777" w:rsidR="00360814" w:rsidRPr="00DA088F" w:rsidRDefault="00360814" w:rsidP="001F726A">
            <w:pPr>
              <w:tabs>
                <w:tab w:val="left" w:pos="851"/>
                <w:tab w:val="left" w:pos="2575"/>
              </w:tabs>
              <w:autoSpaceDE w:val="0"/>
              <w:autoSpaceDN w:val="0"/>
              <w:adjustRightInd w:val="0"/>
              <w:ind w:right="570"/>
              <w:rPr>
                <w:rFonts w:ascii="Georgia" w:hAnsi="Georgia" w:cs="Arial"/>
                <w:b/>
                <w:bCs/>
                <w:color w:val="E42618"/>
                <w:sz w:val="26"/>
                <w:szCs w:val="26"/>
              </w:rPr>
            </w:pPr>
          </w:p>
          <w:p w14:paraId="3CCA0090" w14:textId="77777777" w:rsidR="004E1B65" w:rsidRDefault="009B4429" w:rsidP="001F726A">
            <w:pPr>
              <w:tabs>
                <w:tab w:val="left" w:pos="851"/>
                <w:tab w:val="left" w:pos="2575"/>
              </w:tabs>
              <w:autoSpaceDE w:val="0"/>
              <w:autoSpaceDN w:val="0"/>
              <w:adjustRightInd w:val="0"/>
              <w:ind w:right="570"/>
              <w:rPr>
                <w:rFonts w:ascii="Georgia" w:hAnsi="Georgia" w:cs="Arial"/>
                <w:b/>
                <w:bCs/>
                <w:color w:val="E42618"/>
                <w:sz w:val="26"/>
                <w:szCs w:val="26"/>
              </w:rPr>
            </w:pPr>
            <w:r w:rsidRPr="00DA088F">
              <w:rPr>
                <w:rFonts w:ascii="Georgia" w:hAnsi="Georgia" w:cs="Arial"/>
                <w:b/>
                <w:bCs/>
                <w:color w:val="E42618"/>
                <w:sz w:val="26"/>
                <w:szCs w:val="26"/>
              </w:rPr>
              <w:t xml:space="preserve">I divorzi consensuali extragiudiziali </w:t>
            </w:r>
            <w:r w:rsidR="00AC0DE5" w:rsidRPr="00DA088F">
              <w:rPr>
                <w:rFonts w:ascii="Georgia" w:hAnsi="Georgia" w:cs="Arial"/>
                <w:b/>
                <w:bCs/>
                <w:color w:val="E42618"/>
                <w:sz w:val="26"/>
                <w:szCs w:val="26"/>
              </w:rPr>
              <w:t>presso gli Uffici di Stato Civile</w:t>
            </w:r>
          </w:p>
          <w:p w14:paraId="7ED3F308" w14:textId="64BD6A6A" w:rsidR="00DD61BC" w:rsidRPr="00DA088F" w:rsidRDefault="00DD61BC" w:rsidP="001F726A">
            <w:pPr>
              <w:tabs>
                <w:tab w:val="left" w:pos="851"/>
                <w:tab w:val="left" w:pos="2575"/>
              </w:tabs>
              <w:autoSpaceDE w:val="0"/>
              <w:autoSpaceDN w:val="0"/>
              <w:adjustRightInd w:val="0"/>
              <w:ind w:right="570"/>
              <w:rPr>
                <w:rFonts w:ascii="Georgia" w:hAnsi="Georgia" w:cs="Arial"/>
                <w:b/>
                <w:bCs/>
                <w:color w:val="E42618"/>
                <w:sz w:val="26"/>
                <w:szCs w:val="26"/>
              </w:rPr>
            </w:pPr>
          </w:p>
          <w:p w14:paraId="241F69ED" w14:textId="77777777" w:rsidR="002A0328" w:rsidRPr="00DA088F" w:rsidRDefault="002A0328" w:rsidP="001F726A">
            <w:pPr>
              <w:tabs>
                <w:tab w:val="left" w:pos="851"/>
                <w:tab w:val="left" w:pos="2575"/>
              </w:tabs>
              <w:autoSpaceDE w:val="0"/>
              <w:autoSpaceDN w:val="0"/>
              <w:adjustRightInd w:val="0"/>
              <w:ind w:right="570"/>
              <w:rPr>
                <w:rFonts w:ascii="Georgia" w:hAnsi="Georgia" w:cs="Arial"/>
                <w:b/>
                <w:bCs/>
                <w:color w:val="E42618"/>
                <w:sz w:val="26"/>
                <w:szCs w:val="26"/>
              </w:rPr>
            </w:pPr>
          </w:p>
          <w:p w14:paraId="0032640E" w14:textId="00DC8AB7" w:rsidR="002A0328" w:rsidRPr="00DA088F" w:rsidRDefault="00360814" w:rsidP="004E1B65">
            <w:pPr>
              <w:rPr>
                <w:rFonts w:ascii="Georgia" w:hAnsi="Georgia" w:cs="Arial"/>
                <w:sz w:val="26"/>
                <w:szCs w:val="26"/>
              </w:rPr>
            </w:pPr>
            <w:r w:rsidRPr="009016A1">
              <w:rPr>
                <w:rFonts w:ascii="Arial Narrow" w:hAnsi="Arial Narrow" w:cs="Arial"/>
                <w:bCs/>
                <w:color w:val="1F497D"/>
              </w:rPr>
              <w:t xml:space="preserve">Secondo i </w:t>
            </w:r>
            <w:r w:rsidR="009B4429" w:rsidRPr="009016A1">
              <w:rPr>
                <w:rFonts w:ascii="Arial Narrow" w:hAnsi="Arial Narrow" w:cs="Arial"/>
                <w:bCs/>
                <w:color w:val="1F497D"/>
              </w:rPr>
              <w:t xml:space="preserve">dati 2021 è </w:t>
            </w:r>
            <w:r w:rsidR="004E1B65" w:rsidRPr="009016A1">
              <w:rPr>
                <w:rFonts w:ascii="Arial Narrow" w:hAnsi="Arial Narrow" w:cs="Arial"/>
                <w:bCs/>
                <w:color w:val="1F497D"/>
              </w:rPr>
              <w:t xml:space="preserve">la tipologia che </w:t>
            </w:r>
            <w:r w:rsidR="009B4429" w:rsidRPr="009016A1">
              <w:rPr>
                <w:rFonts w:ascii="Arial Narrow" w:hAnsi="Arial Narrow" w:cs="Arial"/>
                <w:bCs/>
                <w:color w:val="1F497D"/>
              </w:rPr>
              <w:t xml:space="preserve">registra </w:t>
            </w:r>
            <w:r w:rsidR="004E1B65" w:rsidRPr="009016A1">
              <w:rPr>
                <w:rFonts w:ascii="Arial Narrow" w:hAnsi="Arial Narrow" w:cs="Arial"/>
                <w:bCs/>
                <w:color w:val="1F497D"/>
              </w:rPr>
              <w:t>il calo</w:t>
            </w:r>
            <w:r w:rsidR="009B4429" w:rsidRPr="009016A1">
              <w:rPr>
                <w:rFonts w:ascii="Arial Narrow" w:hAnsi="Arial Narrow" w:cs="Arial"/>
                <w:bCs/>
                <w:color w:val="1F497D"/>
              </w:rPr>
              <w:t xml:space="preserve"> più consistente</w:t>
            </w:r>
            <w:r w:rsidRPr="009016A1">
              <w:rPr>
                <w:rFonts w:ascii="Arial Narrow" w:hAnsi="Arial Narrow" w:cs="Arial"/>
                <w:bCs/>
                <w:color w:val="1F497D"/>
              </w:rPr>
              <w:t xml:space="preserve"> rispetto al 2019</w:t>
            </w:r>
            <w:r w:rsidR="004E1B65" w:rsidRPr="009016A1">
              <w:rPr>
                <w:rFonts w:ascii="Arial Narrow" w:hAnsi="Arial Narrow" w:cs="Arial"/>
                <w:bCs/>
                <w:color w:val="1F497D"/>
              </w:rPr>
              <w:t>.</w:t>
            </w:r>
          </w:p>
        </w:tc>
      </w:tr>
      <w:tr w:rsidR="008A7077" w:rsidRPr="001A62B5" w14:paraId="533416D1" w14:textId="77777777" w:rsidTr="00C21635">
        <w:trPr>
          <w:trHeight w:val="16"/>
        </w:trPr>
        <w:tc>
          <w:tcPr>
            <w:tcW w:w="11925" w:type="dxa"/>
            <w:gridSpan w:val="3"/>
            <w:shd w:val="clear" w:color="auto" w:fill="D9D9D9" w:themeFill="background1" w:themeFillShade="D9"/>
          </w:tcPr>
          <w:p w14:paraId="0A53FD96" w14:textId="77777777" w:rsidR="008A7077" w:rsidRPr="008A7077" w:rsidRDefault="008A7077" w:rsidP="00A2532B">
            <w:pPr>
              <w:tabs>
                <w:tab w:val="left" w:pos="851"/>
                <w:tab w:val="left" w:pos="2575"/>
              </w:tabs>
              <w:autoSpaceDE w:val="0"/>
              <w:autoSpaceDN w:val="0"/>
              <w:adjustRightInd w:val="0"/>
              <w:ind w:right="570"/>
              <w:rPr>
                <w:rFonts w:ascii="Georgia" w:hAnsi="Georgia" w:cs="Arial"/>
                <w:bCs/>
                <w:color w:val="E42618"/>
                <w:sz w:val="16"/>
                <w:szCs w:val="16"/>
              </w:rPr>
            </w:pPr>
          </w:p>
        </w:tc>
      </w:tr>
    </w:tbl>
    <w:p w14:paraId="2E4F3B44" w14:textId="77777777" w:rsidR="00C65721" w:rsidRPr="0058002A" w:rsidRDefault="00C65721" w:rsidP="00F8783D">
      <w:pPr>
        <w:rPr>
          <w:rFonts w:ascii="Arial" w:hAnsi="Arial" w:cs="Arial"/>
          <w:iCs/>
          <w:noProof/>
          <w:color w:val="000000"/>
          <w:sz w:val="20"/>
          <w:szCs w:val="20"/>
        </w:rPr>
        <w:sectPr w:rsidR="00C65721" w:rsidRPr="0058002A" w:rsidSect="001F726A">
          <w:footerReference w:type="even" r:id="rId8"/>
          <w:footerReference w:type="default" r:id="rId9"/>
          <w:headerReference w:type="first" r:id="rId10"/>
          <w:footerReference w:type="first" r:id="rId11"/>
          <w:type w:val="continuous"/>
          <w:pgSz w:w="11906" w:h="16838"/>
          <w:pgMar w:top="0" w:right="851" w:bottom="680" w:left="851" w:header="0" w:footer="0" w:gutter="0"/>
          <w:pgNumType w:start="1"/>
          <w:cols w:space="708"/>
          <w:titlePg/>
          <w:docGrid w:linePitch="360"/>
        </w:sectPr>
      </w:pPr>
    </w:p>
    <w:p w14:paraId="7055CA9D" w14:textId="77777777" w:rsidR="005772F5" w:rsidRPr="0053345A" w:rsidRDefault="005772F5" w:rsidP="00606626">
      <w:pPr>
        <w:spacing w:after="120"/>
        <w:jc w:val="both"/>
        <w:outlineLvl w:val="0"/>
        <w:rPr>
          <w:rFonts w:ascii="Arial" w:hAnsi="Arial" w:cs="Arial"/>
          <w:color w:val="1F497D" w:themeColor="text2"/>
          <w:sz w:val="22"/>
          <w:szCs w:val="26"/>
        </w:rPr>
      </w:pPr>
    </w:p>
    <w:p w14:paraId="77E3947D" w14:textId="7B128D29" w:rsidR="001567B2" w:rsidRPr="00115DEF" w:rsidRDefault="008169E9" w:rsidP="00606626">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In caduta soprattutto</w:t>
      </w:r>
      <w:r w:rsidR="009E594E">
        <w:rPr>
          <w:rFonts w:ascii="Arial" w:hAnsi="Arial" w:cs="Arial"/>
          <w:b/>
          <w:color w:val="1F497D" w:themeColor="text2"/>
          <w:sz w:val="26"/>
          <w:szCs w:val="26"/>
        </w:rPr>
        <w:t xml:space="preserve"> </w:t>
      </w:r>
      <w:r w:rsidR="00EB227C">
        <w:rPr>
          <w:rFonts w:ascii="Arial" w:hAnsi="Arial" w:cs="Arial"/>
          <w:b/>
          <w:color w:val="1F497D" w:themeColor="text2"/>
          <w:sz w:val="26"/>
          <w:szCs w:val="26"/>
        </w:rPr>
        <w:t>le prime nozze</w:t>
      </w:r>
      <w:r w:rsidR="00C955A5">
        <w:rPr>
          <w:rFonts w:ascii="Arial" w:hAnsi="Arial" w:cs="Arial"/>
          <w:b/>
          <w:color w:val="1F497D" w:themeColor="text2"/>
          <w:sz w:val="26"/>
          <w:szCs w:val="26"/>
        </w:rPr>
        <w:t xml:space="preserve"> dei giovani</w:t>
      </w:r>
    </w:p>
    <w:p w14:paraId="22738E14" w14:textId="356AD755" w:rsidR="008169E9" w:rsidRDefault="001A560C" w:rsidP="00606626">
      <w:pPr>
        <w:pStyle w:val="RAtesto"/>
        <w:spacing w:line="240" w:lineRule="auto"/>
        <w:rPr>
          <w:rFonts w:ascii="Arial" w:hAnsi="Arial"/>
          <w:sz w:val="22"/>
          <w:szCs w:val="22"/>
        </w:rPr>
      </w:pPr>
      <w:r w:rsidRPr="00EB227C">
        <w:rPr>
          <w:rFonts w:ascii="Arial" w:hAnsi="Arial"/>
          <w:sz w:val="22"/>
          <w:szCs w:val="22"/>
        </w:rPr>
        <w:t>I</w:t>
      </w:r>
      <w:r w:rsidR="00260A0C" w:rsidRPr="00EB227C">
        <w:rPr>
          <w:rFonts w:ascii="Arial" w:hAnsi="Arial"/>
          <w:sz w:val="22"/>
          <w:szCs w:val="22"/>
        </w:rPr>
        <w:t xml:space="preserve"> dati del 2020 danno conto del</w:t>
      </w:r>
      <w:r w:rsidR="008169E9">
        <w:rPr>
          <w:rFonts w:ascii="Arial" w:hAnsi="Arial"/>
          <w:sz w:val="22"/>
          <w:szCs w:val="22"/>
        </w:rPr>
        <w:t>l’</w:t>
      </w:r>
      <w:r w:rsidR="00260A0C" w:rsidRPr="00EB227C">
        <w:rPr>
          <w:rFonts w:ascii="Arial" w:hAnsi="Arial"/>
          <w:sz w:val="22"/>
          <w:szCs w:val="22"/>
        </w:rPr>
        <w:t xml:space="preserve">impatto della </w:t>
      </w:r>
      <w:r w:rsidR="00F4216E">
        <w:rPr>
          <w:rFonts w:ascii="Arial" w:hAnsi="Arial"/>
          <w:sz w:val="22"/>
          <w:szCs w:val="22"/>
        </w:rPr>
        <w:t>pandemia da Covid-19</w:t>
      </w:r>
      <w:r w:rsidR="00260A0C" w:rsidRPr="00EB227C">
        <w:rPr>
          <w:rFonts w:ascii="Arial" w:hAnsi="Arial"/>
          <w:sz w:val="22"/>
          <w:szCs w:val="22"/>
        </w:rPr>
        <w:t xml:space="preserve"> sui matrimoni, evidenziando un crollo di portata eccezional</w:t>
      </w:r>
      <w:r w:rsidR="00CF177D" w:rsidRPr="00EB227C">
        <w:rPr>
          <w:rFonts w:ascii="Arial" w:hAnsi="Arial"/>
          <w:sz w:val="22"/>
          <w:szCs w:val="22"/>
        </w:rPr>
        <w:t>e</w:t>
      </w:r>
      <w:r w:rsidR="00DB04DC" w:rsidRPr="00EB227C">
        <w:rPr>
          <w:rFonts w:ascii="Arial" w:hAnsi="Arial"/>
          <w:sz w:val="22"/>
          <w:szCs w:val="22"/>
        </w:rPr>
        <w:t xml:space="preserve"> che ha </w:t>
      </w:r>
      <w:r w:rsidR="006B3903">
        <w:rPr>
          <w:rFonts w:ascii="Arial" w:hAnsi="Arial"/>
          <w:sz w:val="22"/>
          <w:szCs w:val="22"/>
        </w:rPr>
        <w:t xml:space="preserve">quasi </w:t>
      </w:r>
      <w:r w:rsidR="00DB04DC" w:rsidRPr="00EB227C">
        <w:rPr>
          <w:rFonts w:ascii="Arial" w:hAnsi="Arial"/>
          <w:sz w:val="22"/>
          <w:szCs w:val="22"/>
        </w:rPr>
        <w:t>dimezza</w:t>
      </w:r>
      <w:r w:rsidR="008169E9">
        <w:rPr>
          <w:rFonts w:ascii="Arial" w:hAnsi="Arial"/>
          <w:sz w:val="22"/>
          <w:szCs w:val="22"/>
        </w:rPr>
        <w:t>to il numero</w:t>
      </w:r>
      <w:r w:rsidR="00DB04DC" w:rsidRPr="00EB227C">
        <w:rPr>
          <w:rFonts w:ascii="Arial" w:hAnsi="Arial"/>
          <w:sz w:val="22"/>
          <w:szCs w:val="22"/>
        </w:rPr>
        <w:t xml:space="preserve"> </w:t>
      </w:r>
      <w:r w:rsidR="00EB227C" w:rsidRPr="00EB227C">
        <w:rPr>
          <w:rFonts w:ascii="Arial" w:hAnsi="Arial"/>
          <w:sz w:val="22"/>
          <w:szCs w:val="22"/>
        </w:rPr>
        <w:t>delle nozze</w:t>
      </w:r>
      <w:r w:rsidR="00DB04DC" w:rsidRPr="00EB227C">
        <w:rPr>
          <w:rFonts w:ascii="Arial" w:hAnsi="Arial"/>
          <w:sz w:val="22"/>
          <w:szCs w:val="22"/>
        </w:rPr>
        <w:t xml:space="preserve"> in un solo anno</w:t>
      </w:r>
      <w:r w:rsidR="00B654BC">
        <w:rPr>
          <w:rFonts w:ascii="Arial" w:hAnsi="Arial"/>
          <w:sz w:val="22"/>
          <w:szCs w:val="22"/>
        </w:rPr>
        <w:t xml:space="preserve">: </w:t>
      </w:r>
      <w:r w:rsidR="001F50BC" w:rsidRPr="00EB227C">
        <w:rPr>
          <w:rFonts w:ascii="Arial" w:hAnsi="Arial"/>
          <w:sz w:val="22"/>
          <w:szCs w:val="22"/>
        </w:rPr>
        <w:t>sono stati celebrati 96.841</w:t>
      </w:r>
      <w:r w:rsidR="00557F39">
        <w:rPr>
          <w:rFonts w:ascii="Arial" w:hAnsi="Arial"/>
          <w:sz w:val="22"/>
          <w:szCs w:val="22"/>
        </w:rPr>
        <w:t xml:space="preserve"> matrimoni</w:t>
      </w:r>
      <w:r w:rsidR="001F50BC" w:rsidRPr="00EB227C">
        <w:rPr>
          <w:rFonts w:ascii="Arial" w:hAnsi="Arial"/>
          <w:sz w:val="22"/>
          <w:szCs w:val="22"/>
        </w:rPr>
        <w:t>, 87 mila in meno rispetto al 2019 (-47,4%).</w:t>
      </w:r>
      <w:r w:rsidR="00557F39">
        <w:rPr>
          <w:rFonts w:ascii="Arial" w:hAnsi="Arial"/>
          <w:sz w:val="22"/>
          <w:szCs w:val="22"/>
        </w:rPr>
        <w:t xml:space="preserve"> </w:t>
      </w:r>
    </w:p>
    <w:p w14:paraId="421B24FD" w14:textId="53D31BD6" w:rsidR="00227318" w:rsidRDefault="006B3903" w:rsidP="00DB749C">
      <w:pPr>
        <w:pStyle w:val="RAtesto"/>
        <w:spacing w:line="240" w:lineRule="auto"/>
        <w:rPr>
          <w:rFonts w:ascii="TimesNewRomanPSMT" w:hAnsi="TimesNewRomanPSMT" w:cs="TimesNewRomanPSMT"/>
          <w:sz w:val="22"/>
          <w:szCs w:val="22"/>
        </w:rPr>
      </w:pPr>
      <w:r>
        <w:rPr>
          <w:rFonts w:ascii="Arial" w:hAnsi="Arial"/>
          <w:sz w:val="22"/>
          <w:szCs w:val="22"/>
        </w:rPr>
        <w:t xml:space="preserve">La battuta d’arresto </w:t>
      </w:r>
      <w:r w:rsidR="00104553" w:rsidRPr="00EB227C">
        <w:rPr>
          <w:rFonts w:ascii="Arial" w:hAnsi="Arial"/>
          <w:sz w:val="22"/>
          <w:szCs w:val="22"/>
        </w:rPr>
        <w:t xml:space="preserve">si </w:t>
      </w:r>
      <w:r>
        <w:rPr>
          <w:rFonts w:ascii="Arial" w:hAnsi="Arial"/>
          <w:sz w:val="22"/>
          <w:szCs w:val="22"/>
        </w:rPr>
        <w:t>osserva</w:t>
      </w:r>
      <w:r w:rsidR="00104553" w:rsidRPr="00EB227C">
        <w:rPr>
          <w:rFonts w:ascii="Arial" w:hAnsi="Arial"/>
          <w:sz w:val="22"/>
          <w:szCs w:val="22"/>
        </w:rPr>
        <w:t xml:space="preserve"> </w:t>
      </w:r>
      <w:r w:rsidR="000618C1">
        <w:rPr>
          <w:rFonts w:ascii="Arial" w:hAnsi="Arial"/>
          <w:sz w:val="22"/>
          <w:szCs w:val="22"/>
        </w:rPr>
        <w:t xml:space="preserve">a partire da </w:t>
      </w:r>
      <w:r w:rsidR="001372AC">
        <w:rPr>
          <w:rFonts w:ascii="Arial" w:hAnsi="Arial"/>
          <w:sz w:val="22"/>
          <w:szCs w:val="22"/>
        </w:rPr>
        <w:t xml:space="preserve">marzo </w:t>
      </w:r>
      <w:r w:rsidR="000618C1">
        <w:rPr>
          <w:rFonts w:ascii="Arial" w:hAnsi="Arial"/>
          <w:sz w:val="22"/>
          <w:szCs w:val="22"/>
        </w:rPr>
        <w:t xml:space="preserve">2020 con picchi ad aprile </w:t>
      </w:r>
      <w:r w:rsidR="001372AC">
        <w:rPr>
          <w:rFonts w:ascii="Arial" w:hAnsi="Arial"/>
          <w:sz w:val="22"/>
          <w:szCs w:val="22"/>
        </w:rPr>
        <w:t>e maggio</w:t>
      </w:r>
      <w:r w:rsidR="001F50BC" w:rsidRPr="00EB227C">
        <w:rPr>
          <w:rFonts w:ascii="Arial" w:hAnsi="Arial"/>
          <w:sz w:val="22"/>
          <w:szCs w:val="22"/>
        </w:rPr>
        <w:t xml:space="preserve"> </w:t>
      </w:r>
      <w:r w:rsidR="00104553" w:rsidRPr="00EB227C">
        <w:rPr>
          <w:rFonts w:ascii="Arial" w:hAnsi="Arial"/>
          <w:sz w:val="22"/>
          <w:szCs w:val="22"/>
        </w:rPr>
        <w:t xml:space="preserve">proprio per via delle pesanti restrizioni </w:t>
      </w:r>
      <w:r w:rsidR="00DB749C">
        <w:rPr>
          <w:rFonts w:ascii="Arial" w:hAnsi="Arial"/>
          <w:sz w:val="22"/>
          <w:szCs w:val="22"/>
        </w:rPr>
        <w:t>imposte dalla pandemia</w:t>
      </w:r>
      <w:r w:rsidR="00104553" w:rsidRPr="00EB227C">
        <w:rPr>
          <w:rFonts w:ascii="Arial" w:hAnsi="Arial"/>
          <w:sz w:val="22"/>
          <w:szCs w:val="22"/>
        </w:rPr>
        <w:t xml:space="preserve">. </w:t>
      </w:r>
      <w:r>
        <w:rPr>
          <w:rFonts w:ascii="Arial" w:hAnsi="Arial"/>
          <w:sz w:val="22"/>
          <w:szCs w:val="22"/>
        </w:rPr>
        <w:t>A</w:t>
      </w:r>
      <w:r w:rsidR="001A560C" w:rsidRPr="00EB227C">
        <w:rPr>
          <w:rFonts w:ascii="Arial" w:hAnsi="Arial"/>
          <w:sz w:val="22"/>
          <w:szCs w:val="22"/>
        </w:rPr>
        <w:t>lcune misure di contenimento (</w:t>
      </w:r>
      <w:r w:rsidR="009D68EE">
        <w:rPr>
          <w:rFonts w:ascii="Arial" w:hAnsi="Arial"/>
          <w:sz w:val="22"/>
          <w:szCs w:val="22"/>
        </w:rPr>
        <w:t xml:space="preserve">divieto di </w:t>
      </w:r>
      <w:r w:rsidR="001A560C" w:rsidRPr="00EB227C">
        <w:rPr>
          <w:rFonts w:ascii="Arial" w:hAnsi="Arial"/>
          <w:sz w:val="22"/>
          <w:szCs w:val="22"/>
        </w:rPr>
        <w:t>assembramenti, numero massimo di persone in caso di eventi) hanno</w:t>
      </w:r>
      <w:r>
        <w:rPr>
          <w:rFonts w:ascii="Arial" w:hAnsi="Arial"/>
          <w:sz w:val="22"/>
          <w:szCs w:val="22"/>
        </w:rPr>
        <w:t xml:space="preserve"> comunque</w:t>
      </w:r>
      <w:r w:rsidR="001A560C" w:rsidRPr="00EB227C">
        <w:rPr>
          <w:rFonts w:ascii="Arial" w:hAnsi="Arial"/>
          <w:sz w:val="22"/>
          <w:szCs w:val="22"/>
        </w:rPr>
        <w:t xml:space="preserve"> riguardato l’intero anno 2020</w:t>
      </w:r>
      <w:r>
        <w:rPr>
          <w:rFonts w:ascii="Arial" w:hAnsi="Arial"/>
          <w:sz w:val="22"/>
          <w:szCs w:val="22"/>
        </w:rPr>
        <w:t xml:space="preserve"> e si sono protratte nel 2021.</w:t>
      </w:r>
      <w:r w:rsidR="006F2356">
        <w:rPr>
          <w:rFonts w:ascii="Arial" w:hAnsi="Arial"/>
          <w:sz w:val="22"/>
          <w:szCs w:val="22"/>
        </w:rPr>
        <w:t xml:space="preserve"> </w:t>
      </w:r>
      <w:r>
        <w:rPr>
          <w:rFonts w:ascii="Arial" w:hAnsi="Arial"/>
          <w:sz w:val="22"/>
          <w:szCs w:val="22"/>
        </w:rPr>
        <w:t>U</w:t>
      </w:r>
      <w:r w:rsidR="009815E3">
        <w:rPr>
          <w:rFonts w:ascii="Arial" w:hAnsi="Arial"/>
          <w:sz w:val="22"/>
          <w:szCs w:val="22"/>
        </w:rPr>
        <w:t>lteriori</w:t>
      </w:r>
      <w:r w:rsidR="006F2356">
        <w:rPr>
          <w:rFonts w:ascii="Arial" w:hAnsi="Arial"/>
          <w:sz w:val="22"/>
          <w:szCs w:val="22"/>
        </w:rPr>
        <w:t xml:space="preserve"> elementi</w:t>
      </w:r>
      <w:r>
        <w:rPr>
          <w:rFonts w:ascii="Arial" w:hAnsi="Arial"/>
          <w:sz w:val="22"/>
          <w:szCs w:val="22"/>
        </w:rPr>
        <w:t xml:space="preserve"> a sfavore delle nozze </w:t>
      </w:r>
      <w:r w:rsidR="006F2356">
        <w:rPr>
          <w:rFonts w:ascii="Arial" w:hAnsi="Arial"/>
          <w:sz w:val="22"/>
          <w:szCs w:val="22"/>
        </w:rPr>
        <w:t>s</w:t>
      </w:r>
      <w:r w:rsidR="00227318">
        <w:rPr>
          <w:rFonts w:ascii="Arial" w:hAnsi="Arial"/>
          <w:sz w:val="22"/>
          <w:szCs w:val="22"/>
        </w:rPr>
        <w:t>i sono aggiunti, via via,</w:t>
      </w:r>
      <w:r w:rsidR="001A560C" w:rsidRPr="00EB227C">
        <w:rPr>
          <w:rFonts w:ascii="Arial" w:hAnsi="Arial"/>
          <w:sz w:val="22"/>
          <w:szCs w:val="22"/>
        </w:rPr>
        <w:t xml:space="preserve"> </w:t>
      </w:r>
      <w:r w:rsidR="006F2356">
        <w:rPr>
          <w:rFonts w:ascii="Arial" w:hAnsi="Arial"/>
          <w:sz w:val="22"/>
          <w:szCs w:val="22"/>
        </w:rPr>
        <w:t>a seguito del dispiegarsi degli effetti sociali ed economici indotti dalla crisi sanitaria.</w:t>
      </w:r>
      <w:r w:rsidR="001A560C" w:rsidRPr="007B5937">
        <w:rPr>
          <w:rFonts w:ascii="TimesNewRomanPSMT" w:hAnsi="TimesNewRomanPSMT" w:cs="TimesNewRomanPSMT"/>
          <w:sz w:val="22"/>
          <w:szCs w:val="22"/>
        </w:rPr>
        <w:t xml:space="preserve"> </w:t>
      </w:r>
    </w:p>
    <w:p w14:paraId="3645EE66" w14:textId="5558A0F6" w:rsidR="004E1B65" w:rsidRDefault="002228EF" w:rsidP="00606626">
      <w:pPr>
        <w:spacing w:after="120"/>
        <w:jc w:val="both"/>
        <w:outlineLvl w:val="0"/>
        <w:rPr>
          <w:rFonts w:ascii="Arial" w:hAnsi="Arial" w:cs="Arial"/>
          <w:sz w:val="22"/>
          <w:szCs w:val="22"/>
        </w:rPr>
      </w:pPr>
      <w:r>
        <w:rPr>
          <w:rFonts w:ascii="Arial" w:hAnsi="Arial"/>
          <w:sz w:val="22"/>
          <w:szCs w:val="22"/>
        </w:rPr>
        <w:t xml:space="preserve">A livello territoriale, </w:t>
      </w:r>
      <w:r w:rsidR="003271C2">
        <w:rPr>
          <w:rFonts w:ascii="Arial" w:hAnsi="Arial"/>
          <w:sz w:val="22"/>
          <w:szCs w:val="22"/>
        </w:rPr>
        <w:t>il calo</w:t>
      </w:r>
      <w:r>
        <w:rPr>
          <w:rFonts w:ascii="Arial" w:hAnsi="Arial"/>
          <w:sz w:val="22"/>
          <w:szCs w:val="22"/>
        </w:rPr>
        <w:t xml:space="preserve"> è molto più pronunciat</w:t>
      </w:r>
      <w:r w:rsidR="003271C2">
        <w:rPr>
          <w:rFonts w:ascii="Arial" w:hAnsi="Arial"/>
          <w:sz w:val="22"/>
          <w:szCs w:val="22"/>
        </w:rPr>
        <w:t>o</w:t>
      </w:r>
      <w:r>
        <w:rPr>
          <w:rFonts w:ascii="Arial" w:hAnsi="Arial"/>
          <w:sz w:val="22"/>
          <w:szCs w:val="22"/>
        </w:rPr>
        <w:t xml:space="preserve"> nel Mezzogiorno (-54,9%) rispetto al Centro (-46,1%) e, soprattutto, al Nord (-40,6%). </w:t>
      </w:r>
      <w:r w:rsidR="004E1B65">
        <w:rPr>
          <w:rFonts w:ascii="Arial" w:hAnsi="Arial" w:cs="Arial"/>
          <w:sz w:val="22"/>
          <w:szCs w:val="22"/>
        </w:rPr>
        <w:t>La diversa intensità nella diminuzione dei matrimoni</w:t>
      </w:r>
      <w:r w:rsidR="00967F99">
        <w:rPr>
          <w:rFonts w:ascii="Arial" w:hAnsi="Arial" w:cs="Arial"/>
          <w:sz w:val="22"/>
          <w:szCs w:val="22"/>
        </w:rPr>
        <w:t xml:space="preserve"> </w:t>
      </w:r>
      <w:r w:rsidR="004E1B65">
        <w:rPr>
          <w:rFonts w:ascii="Arial" w:hAnsi="Arial" w:cs="Arial"/>
          <w:sz w:val="22"/>
          <w:szCs w:val="22"/>
        </w:rPr>
        <w:t>è</w:t>
      </w:r>
      <w:r>
        <w:rPr>
          <w:rFonts w:ascii="Arial" w:hAnsi="Arial" w:cs="Arial"/>
          <w:sz w:val="22"/>
          <w:szCs w:val="22"/>
        </w:rPr>
        <w:t xml:space="preserve"> </w:t>
      </w:r>
      <w:r w:rsidR="00967F99">
        <w:rPr>
          <w:rFonts w:ascii="Arial" w:hAnsi="Arial" w:cs="Arial"/>
          <w:sz w:val="22"/>
          <w:szCs w:val="22"/>
        </w:rPr>
        <w:t>riconducibil</w:t>
      </w:r>
      <w:r w:rsidR="004E1B65">
        <w:rPr>
          <w:rFonts w:ascii="Arial" w:hAnsi="Arial" w:cs="Arial"/>
          <w:sz w:val="22"/>
          <w:szCs w:val="22"/>
        </w:rPr>
        <w:t>e</w:t>
      </w:r>
      <w:r w:rsidR="00967F99">
        <w:rPr>
          <w:rFonts w:ascii="Arial" w:hAnsi="Arial" w:cs="Arial"/>
          <w:sz w:val="22"/>
          <w:szCs w:val="22"/>
        </w:rPr>
        <w:t xml:space="preserve"> anche </w:t>
      </w:r>
      <w:r w:rsidR="00970DCF">
        <w:rPr>
          <w:rFonts w:ascii="Arial" w:hAnsi="Arial" w:cs="Arial"/>
          <w:sz w:val="22"/>
          <w:szCs w:val="22"/>
        </w:rPr>
        <w:t xml:space="preserve">alle diverse tipologie di </w:t>
      </w:r>
      <w:r w:rsidR="00970DCF" w:rsidRPr="00970DCF">
        <w:rPr>
          <w:rFonts w:ascii="Arial" w:hAnsi="Arial" w:cs="Arial"/>
          <w:sz w:val="22"/>
          <w:szCs w:val="22"/>
        </w:rPr>
        <w:t xml:space="preserve">celebrazioni e festeggiamenti </w:t>
      </w:r>
      <w:r>
        <w:rPr>
          <w:rFonts w:ascii="Arial" w:hAnsi="Arial" w:cs="Arial"/>
          <w:sz w:val="22"/>
          <w:szCs w:val="22"/>
        </w:rPr>
        <w:t xml:space="preserve">e al livello di partecipazione </w:t>
      </w:r>
      <w:r w:rsidR="00970DCF">
        <w:rPr>
          <w:rFonts w:ascii="Arial" w:hAnsi="Arial" w:cs="Arial"/>
          <w:sz w:val="22"/>
          <w:szCs w:val="22"/>
        </w:rPr>
        <w:t xml:space="preserve">che </w:t>
      </w:r>
      <w:r>
        <w:rPr>
          <w:rFonts w:ascii="Arial" w:hAnsi="Arial" w:cs="Arial"/>
          <w:sz w:val="22"/>
          <w:szCs w:val="22"/>
        </w:rPr>
        <w:t>in genere</w:t>
      </w:r>
      <w:r w:rsidR="00970DCF">
        <w:rPr>
          <w:rFonts w:ascii="Arial" w:hAnsi="Arial" w:cs="Arial"/>
          <w:sz w:val="22"/>
          <w:szCs w:val="22"/>
        </w:rPr>
        <w:t xml:space="preserve"> contraddistinguono </w:t>
      </w:r>
      <w:r>
        <w:rPr>
          <w:rFonts w:ascii="Arial" w:hAnsi="Arial" w:cs="Arial"/>
          <w:sz w:val="22"/>
          <w:szCs w:val="22"/>
        </w:rPr>
        <w:t>le tradizioni del</w:t>
      </w:r>
      <w:r w:rsidR="00970DCF">
        <w:rPr>
          <w:rFonts w:ascii="Arial" w:hAnsi="Arial" w:cs="Arial"/>
          <w:sz w:val="22"/>
          <w:szCs w:val="22"/>
        </w:rPr>
        <w:t xml:space="preserve"> nostro Paese</w:t>
      </w:r>
      <w:r w:rsidR="00A2298F">
        <w:rPr>
          <w:rFonts w:ascii="Arial" w:hAnsi="Arial" w:cs="Arial"/>
          <w:sz w:val="22"/>
          <w:szCs w:val="22"/>
        </w:rPr>
        <w:t>.</w:t>
      </w:r>
      <w:r w:rsidR="00970DCF">
        <w:rPr>
          <w:rFonts w:ascii="Arial" w:hAnsi="Arial" w:cs="Arial"/>
          <w:sz w:val="22"/>
          <w:szCs w:val="22"/>
        </w:rPr>
        <w:t xml:space="preserve"> </w:t>
      </w:r>
    </w:p>
    <w:p w14:paraId="15D686DB" w14:textId="08B32FD3" w:rsidR="00967F99" w:rsidRPr="008B6B6C" w:rsidRDefault="002228EF" w:rsidP="00606626">
      <w:pPr>
        <w:spacing w:after="120"/>
        <w:jc w:val="both"/>
        <w:outlineLvl w:val="0"/>
        <w:rPr>
          <w:rFonts w:ascii="Arial" w:hAnsi="Arial" w:cs="Arial"/>
          <w:sz w:val="22"/>
          <w:szCs w:val="22"/>
        </w:rPr>
      </w:pPr>
      <w:r>
        <w:rPr>
          <w:rFonts w:ascii="Arial" w:hAnsi="Arial" w:cs="Arial"/>
          <w:sz w:val="22"/>
          <w:szCs w:val="22"/>
        </w:rPr>
        <w:t>In base ai</w:t>
      </w:r>
      <w:r w:rsidR="00F5771D">
        <w:rPr>
          <w:rFonts w:ascii="Arial" w:hAnsi="Arial" w:cs="Arial"/>
          <w:sz w:val="22"/>
          <w:szCs w:val="22"/>
        </w:rPr>
        <w:t xml:space="preserve"> dati</w:t>
      </w:r>
      <w:r w:rsidR="00967F99" w:rsidRPr="00B06F5E">
        <w:rPr>
          <w:rFonts w:ascii="Arial" w:hAnsi="Arial" w:cs="Arial"/>
          <w:sz w:val="22"/>
          <w:szCs w:val="22"/>
        </w:rPr>
        <w:t xml:space="preserve"> dell’Indagine “Famiglie, soggetti sociali e ciclo di vita</w:t>
      </w:r>
      <w:r w:rsidR="003271C2">
        <w:rPr>
          <w:rFonts w:ascii="Arial" w:hAnsi="Arial" w:cs="Arial"/>
          <w:sz w:val="22"/>
          <w:szCs w:val="22"/>
        </w:rPr>
        <w:t>” riferiti al 2016</w:t>
      </w:r>
      <w:r w:rsidR="00967F99" w:rsidRPr="00B06F5E">
        <w:rPr>
          <w:rFonts w:ascii="Arial" w:hAnsi="Arial" w:cs="Arial"/>
          <w:sz w:val="22"/>
          <w:szCs w:val="22"/>
        </w:rPr>
        <w:t xml:space="preserve">, </w:t>
      </w:r>
      <w:r w:rsidR="00F5771D">
        <w:rPr>
          <w:rFonts w:ascii="Arial" w:hAnsi="Arial" w:cs="Arial"/>
          <w:sz w:val="22"/>
          <w:szCs w:val="22"/>
        </w:rPr>
        <w:t>è possibile osservare evidenti</w:t>
      </w:r>
      <w:r w:rsidR="00967F99" w:rsidRPr="00B06F5E">
        <w:rPr>
          <w:rFonts w:ascii="Arial" w:hAnsi="Arial" w:cs="Arial"/>
          <w:sz w:val="22"/>
          <w:szCs w:val="22"/>
        </w:rPr>
        <w:t xml:space="preserve"> differenze a livello territoriale</w:t>
      </w:r>
      <w:r w:rsidR="00F5771D">
        <w:rPr>
          <w:rFonts w:ascii="Arial" w:hAnsi="Arial" w:cs="Arial"/>
          <w:sz w:val="22"/>
          <w:szCs w:val="22"/>
        </w:rPr>
        <w:t xml:space="preserve"> nel</w:t>
      </w:r>
      <w:r w:rsidR="00967F99" w:rsidRPr="00B06F5E">
        <w:rPr>
          <w:rFonts w:ascii="Arial" w:hAnsi="Arial" w:cs="Arial"/>
          <w:sz w:val="22"/>
          <w:szCs w:val="22"/>
        </w:rPr>
        <w:t xml:space="preserve"> numero degli invitati. </w:t>
      </w:r>
      <w:r w:rsidR="003271C2">
        <w:rPr>
          <w:rFonts w:ascii="Arial" w:hAnsi="Arial" w:cs="Arial"/>
          <w:sz w:val="22"/>
          <w:szCs w:val="22"/>
        </w:rPr>
        <w:t>L</w:t>
      </w:r>
      <w:r w:rsidR="003271C2" w:rsidRPr="00B06F5E">
        <w:rPr>
          <w:rFonts w:ascii="Arial" w:hAnsi="Arial" w:cs="Arial"/>
          <w:sz w:val="22"/>
          <w:szCs w:val="22"/>
        </w:rPr>
        <w:t xml:space="preserve">a prevalenza di ricevimenti con almeno </w:t>
      </w:r>
      <w:r w:rsidR="003271C2">
        <w:rPr>
          <w:rFonts w:ascii="Arial" w:hAnsi="Arial" w:cs="Arial"/>
          <w:sz w:val="22"/>
          <w:szCs w:val="22"/>
        </w:rPr>
        <w:t>100</w:t>
      </w:r>
      <w:r w:rsidR="003271C2" w:rsidRPr="00B06F5E">
        <w:rPr>
          <w:rFonts w:ascii="Arial" w:hAnsi="Arial" w:cs="Arial"/>
          <w:sz w:val="22"/>
          <w:szCs w:val="22"/>
        </w:rPr>
        <w:t xml:space="preserve"> invitati</w:t>
      </w:r>
      <w:r w:rsidR="003271C2">
        <w:rPr>
          <w:rFonts w:ascii="Arial" w:hAnsi="Arial" w:cs="Arial"/>
          <w:sz w:val="22"/>
          <w:szCs w:val="22"/>
        </w:rPr>
        <w:t xml:space="preserve"> è netta</w:t>
      </w:r>
      <w:r w:rsidR="003271C2" w:rsidRPr="00B06F5E">
        <w:rPr>
          <w:rFonts w:ascii="Arial" w:hAnsi="Arial" w:cs="Arial"/>
          <w:sz w:val="22"/>
          <w:szCs w:val="22"/>
        </w:rPr>
        <w:t xml:space="preserve"> </w:t>
      </w:r>
      <w:r w:rsidR="003271C2">
        <w:rPr>
          <w:rFonts w:ascii="Arial" w:hAnsi="Arial" w:cs="Arial"/>
          <w:sz w:val="22"/>
          <w:szCs w:val="22"/>
        </w:rPr>
        <w:t>n</w:t>
      </w:r>
      <w:r w:rsidR="00967F99" w:rsidRPr="00B06F5E">
        <w:rPr>
          <w:rFonts w:ascii="Arial" w:hAnsi="Arial" w:cs="Arial"/>
          <w:sz w:val="22"/>
          <w:szCs w:val="22"/>
        </w:rPr>
        <w:t>el Mezzogiorno (55,8% dei ricevimenti rispetto al 39,3</w:t>
      </w:r>
      <w:r w:rsidR="003271C2">
        <w:rPr>
          <w:rFonts w:ascii="Arial" w:hAnsi="Arial" w:cs="Arial"/>
          <w:sz w:val="22"/>
          <w:szCs w:val="22"/>
        </w:rPr>
        <w:t>%</w:t>
      </w:r>
      <w:r w:rsidR="00967F99" w:rsidRPr="00B06F5E">
        <w:rPr>
          <w:rFonts w:ascii="Arial" w:hAnsi="Arial" w:cs="Arial"/>
          <w:sz w:val="22"/>
          <w:szCs w:val="22"/>
        </w:rPr>
        <w:t xml:space="preserve"> del Nord)</w:t>
      </w:r>
      <w:r w:rsidR="003271C2">
        <w:rPr>
          <w:rFonts w:ascii="Arial" w:hAnsi="Arial" w:cs="Arial"/>
          <w:sz w:val="22"/>
          <w:szCs w:val="22"/>
        </w:rPr>
        <w:t xml:space="preserve">, così come per quelli </w:t>
      </w:r>
      <w:r w:rsidR="00967F99" w:rsidRPr="00B06F5E">
        <w:rPr>
          <w:rFonts w:ascii="Arial" w:hAnsi="Arial" w:cs="Arial"/>
          <w:sz w:val="22"/>
          <w:szCs w:val="22"/>
        </w:rPr>
        <w:t xml:space="preserve">con almeno </w:t>
      </w:r>
      <w:r>
        <w:rPr>
          <w:rFonts w:ascii="Arial" w:hAnsi="Arial" w:cs="Arial"/>
          <w:sz w:val="22"/>
          <w:szCs w:val="22"/>
        </w:rPr>
        <w:t>200</w:t>
      </w:r>
      <w:r w:rsidRPr="00B06F5E">
        <w:rPr>
          <w:rFonts w:ascii="Arial" w:hAnsi="Arial" w:cs="Arial"/>
          <w:sz w:val="22"/>
          <w:szCs w:val="22"/>
        </w:rPr>
        <w:t xml:space="preserve"> </w:t>
      </w:r>
      <w:r w:rsidR="00967F99" w:rsidRPr="00B06F5E">
        <w:rPr>
          <w:rFonts w:ascii="Arial" w:hAnsi="Arial" w:cs="Arial"/>
          <w:sz w:val="22"/>
          <w:szCs w:val="22"/>
        </w:rPr>
        <w:t xml:space="preserve">invitati (19,8% rispetto al 10,2%). I festeggiamenti nuziali con meno di </w:t>
      </w:r>
      <w:r>
        <w:rPr>
          <w:rFonts w:ascii="Arial" w:hAnsi="Arial" w:cs="Arial"/>
          <w:sz w:val="22"/>
          <w:szCs w:val="22"/>
        </w:rPr>
        <w:t>30</w:t>
      </w:r>
      <w:r w:rsidR="00967F99" w:rsidRPr="00B06F5E">
        <w:rPr>
          <w:rFonts w:ascii="Arial" w:hAnsi="Arial" w:cs="Arial"/>
          <w:sz w:val="22"/>
          <w:szCs w:val="22"/>
        </w:rPr>
        <w:t xml:space="preserve"> invitati incidono</w:t>
      </w:r>
      <w:r w:rsidR="003271C2">
        <w:rPr>
          <w:rFonts w:ascii="Arial" w:hAnsi="Arial" w:cs="Arial"/>
          <w:sz w:val="22"/>
          <w:szCs w:val="22"/>
        </w:rPr>
        <w:t xml:space="preserve"> invece</w:t>
      </w:r>
      <w:r w:rsidR="00967F99" w:rsidRPr="00B06F5E">
        <w:rPr>
          <w:rFonts w:ascii="Arial" w:hAnsi="Arial" w:cs="Arial"/>
          <w:sz w:val="22"/>
          <w:szCs w:val="22"/>
        </w:rPr>
        <w:t xml:space="preserve"> per il 12,1% al Nord </w:t>
      </w:r>
      <w:r w:rsidR="003271C2">
        <w:rPr>
          <w:rFonts w:ascii="Arial" w:hAnsi="Arial" w:cs="Arial"/>
          <w:sz w:val="22"/>
          <w:szCs w:val="22"/>
        </w:rPr>
        <w:t>e solo per il</w:t>
      </w:r>
      <w:r w:rsidR="00967F99" w:rsidRPr="00B06F5E">
        <w:rPr>
          <w:rFonts w:ascii="Arial" w:hAnsi="Arial" w:cs="Arial"/>
          <w:sz w:val="22"/>
          <w:szCs w:val="22"/>
        </w:rPr>
        <w:t xml:space="preserve"> 3,5</w:t>
      </w:r>
      <w:r w:rsidR="00967F99" w:rsidRPr="008B6B6C">
        <w:rPr>
          <w:rFonts w:ascii="Arial" w:hAnsi="Arial" w:cs="Arial"/>
          <w:sz w:val="22"/>
          <w:szCs w:val="22"/>
        </w:rPr>
        <w:t>%</w:t>
      </w:r>
      <w:r w:rsidR="003271C2">
        <w:rPr>
          <w:rFonts w:ascii="Arial" w:hAnsi="Arial" w:cs="Arial"/>
          <w:sz w:val="22"/>
          <w:szCs w:val="22"/>
        </w:rPr>
        <w:t xml:space="preserve"> nel Mezzogiorno</w:t>
      </w:r>
      <w:r w:rsidR="00097291">
        <w:rPr>
          <w:rFonts w:ascii="Arial" w:hAnsi="Arial" w:cs="Arial"/>
          <w:sz w:val="22"/>
          <w:szCs w:val="22"/>
        </w:rPr>
        <w:t xml:space="preserve">. </w:t>
      </w:r>
      <w:r w:rsidR="00097291" w:rsidRPr="008B6B6C">
        <w:rPr>
          <w:rStyle w:val="Rimandonotadichiusura"/>
          <w:rFonts w:ascii="Arial" w:hAnsi="Arial" w:cs="Arial"/>
          <w:sz w:val="22"/>
          <w:szCs w:val="22"/>
        </w:rPr>
        <w:endnoteReference w:id="1"/>
      </w:r>
    </w:p>
    <w:p w14:paraId="487D3210" w14:textId="091EFDFB" w:rsidR="000730AF" w:rsidRDefault="000730AF" w:rsidP="002C3E71">
      <w:pPr>
        <w:pStyle w:val="RAtesto"/>
        <w:spacing w:line="240" w:lineRule="auto"/>
        <w:rPr>
          <w:rFonts w:ascii="Arial" w:hAnsi="Arial"/>
          <w:sz w:val="22"/>
          <w:szCs w:val="22"/>
        </w:rPr>
      </w:pPr>
      <w:r>
        <w:rPr>
          <w:rFonts w:ascii="Arial" w:hAnsi="Arial"/>
          <w:sz w:val="22"/>
          <w:szCs w:val="22"/>
        </w:rPr>
        <w:t xml:space="preserve">Il crollo del 2020 accentua drammaticamente la tendenza alla diminuzione della nuzialità che si osserva da </w:t>
      </w:r>
      <w:r w:rsidRPr="00B666B3">
        <w:rPr>
          <w:rFonts w:ascii="Arial" w:hAnsi="Arial"/>
          <w:sz w:val="22"/>
          <w:szCs w:val="22"/>
        </w:rPr>
        <w:t>oltre quarant’anni</w:t>
      </w:r>
      <w:r w:rsidR="002228EF">
        <w:rPr>
          <w:rFonts w:ascii="Arial" w:hAnsi="Arial"/>
          <w:sz w:val="22"/>
          <w:szCs w:val="22"/>
        </w:rPr>
        <w:t>, legata a</w:t>
      </w:r>
      <w:r w:rsidR="006322BC">
        <w:rPr>
          <w:rFonts w:ascii="Arial" w:hAnsi="Arial"/>
          <w:sz w:val="22"/>
          <w:szCs w:val="22"/>
        </w:rPr>
        <w:t xml:space="preserve"> </w:t>
      </w:r>
      <w:r>
        <w:rPr>
          <w:rFonts w:ascii="Arial" w:hAnsi="Arial"/>
          <w:sz w:val="22"/>
          <w:szCs w:val="22"/>
        </w:rPr>
        <w:t>profonde trasformazioni sociali e demografiche</w:t>
      </w:r>
      <w:r w:rsidR="006322BC">
        <w:rPr>
          <w:rFonts w:ascii="Arial" w:hAnsi="Arial"/>
          <w:sz w:val="22"/>
          <w:szCs w:val="22"/>
        </w:rPr>
        <w:t xml:space="preserve">. Sin </w:t>
      </w:r>
      <w:r>
        <w:rPr>
          <w:rFonts w:ascii="Arial" w:hAnsi="Arial"/>
          <w:sz w:val="22"/>
          <w:szCs w:val="22"/>
        </w:rPr>
        <w:t xml:space="preserve">dalla </w:t>
      </w:r>
      <w:r w:rsidRPr="009E49A3">
        <w:rPr>
          <w:rFonts w:ascii="Arial" w:hAnsi="Arial"/>
          <w:sz w:val="22"/>
          <w:szCs w:val="22"/>
        </w:rPr>
        <w:t>metà degli anni</w:t>
      </w:r>
      <w:r w:rsidR="006322BC" w:rsidRPr="009E49A3">
        <w:rPr>
          <w:rFonts w:ascii="Arial" w:hAnsi="Arial"/>
          <w:sz w:val="22"/>
          <w:szCs w:val="22"/>
        </w:rPr>
        <w:t xml:space="preserve"> </w:t>
      </w:r>
      <w:r w:rsidR="009E49A3" w:rsidRPr="00791272">
        <w:rPr>
          <w:rFonts w:ascii="Arial" w:hAnsi="Arial"/>
          <w:sz w:val="22"/>
          <w:szCs w:val="22"/>
        </w:rPr>
        <w:t>Settanta</w:t>
      </w:r>
      <w:r w:rsidRPr="009E49A3">
        <w:rPr>
          <w:rFonts w:ascii="Arial" w:hAnsi="Arial"/>
          <w:sz w:val="22"/>
          <w:szCs w:val="22"/>
        </w:rPr>
        <w:t xml:space="preserve"> si è assistito</w:t>
      </w:r>
      <w:r w:rsidR="00791272">
        <w:rPr>
          <w:rFonts w:ascii="Arial" w:hAnsi="Arial"/>
          <w:sz w:val="22"/>
          <w:szCs w:val="22"/>
        </w:rPr>
        <w:t xml:space="preserve"> sia</w:t>
      </w:r>
      <w:r w:rsidRPr="009E49A3">
        <w:rPr>
          <w:rFonts w:ascii="Arial" w:hAnsi="Arial"/>
          <w:sz w:val="22"/>
          <w:szCs w:val="22"/>
        </w:rPr>
        <w:t xml:space="preserve"> alla posticipazione dell’età al primo matrimonio</w:t>
      </w:r>
      <w:r w:rsidR="00791272">
        <w:rPr>
          <w:rFonts w:ascii="Arial" w:hAnsi="Arial"/>
          <w:sz w:val="22"/>
          <w:szCs w:val="22"/>
        </w:rPr>
        <w:t xml:space="preserve"> sia alla</w:t>
      </w:r>
      <w:r>
        <w:rPr>
          <w:rFonts w:ascii="Arial" w:hAnsi="Arial"/>
          <w:sz w:val="22"/>
          <w:szCs w:val="22"/>
        </w:rPr>
        <w:t xml:space="preserve"> </w:t>
      </w:r>
      <w:r w:rsidRPr="00B666B3">
        <w:rPr>
          <w:rFonts w:ascii="Arial" w:hAnsi="Arial"/>
          <w:sz w:val="22"/>
          <w:szCs w:val="22"/>
        </w:rPr>
        <w:t xml:space="preserve">progressiva diffusione delle libere unioni </w:t>
      </w:r>
      <w:r w:rsidRPr="005453DC">
        <w:rPr>
          <w:rFonts w:ascii="Arial" w:hAnsi="Arial"/>
          <w:sz w:val="22"/>
          <w:szCs w:val="22"/>
        </w:rPr>
        <w:t>(convivenze more uxorio</w:t>
      </w:r>
      <w:r w:rsidRPr="00DA088F">
        <w:rPr>
          <w:rFonts w:ascii="Arial" w:hAnsi="Arial"/>
          <w:sz w:val="22"/>
          <w:szCs w:val="22"/>
        </w:rPr>
        <w:t>)</w:t>
      </w:r>
      <w:r w:rsidRPr="00DA088F">
        <w:rPr>
          <w:rStyle w:val="Rimandonotadichiusura"/>
          <w:rFonts w:ascii="Arial" w:hAnsi="Arial"/>
          <w:sz w:val="22"/>
          <w:szCs w:val="22"/>
        </w:rPr>
        <w:endnoteReference w:id="2"/>
      </w:r>
      <w:r w:rsidR="006B123D">
        <w:rPr>
          <w:rFonts w:ascii="Arial" w:hAnsi="Arial"/>
          <w:sz w:val="22"/>
          <w:szCs w:val="22"/>
        </w:rPr>
        <w:t>,</w:t>
      </w:r>
      <w:r w:rsidRPr="00DA088F">
        <w:rPr>
          <w:rFonts w:ascii="Arial" w:hAnsi="Arial"/>
          <w:sz w:val="22"/>
          <w:szCs w:val="22"/>
        </w:rPr>
        <w:t xml:space="preserve"> </w:t>
      </w:r>
      <w:r w:rsidR="005E3508" w:rsidRPr="005E3508">
        <w:rPr>
          <w:rFonts w:ascii="Arial" w:hAnsi="Arial"/>
          <w:sz w:val="22"/>
          <w:szCs w:val="22"/>
        </w:rPr>
        <w:t xml:space="preserve">quasi quadruplicate dal </w:t>
      </w:r>
      <w:r w:rsidR="002A76B0">
        <w:rPr>
          <w:rFonts w:ascii="Arial" w:hAnsi="Arial"/>
          <w:sz w:val="22"/>
          <w:szCs w:val="22"/>
        </w:rPr>
        <w:t xml:space="preserve">periodo </w:t>
      </w:r>
      <w:r w:rsidR="005E3508" w:rsidRPr="005E3508">
        <w:rPr>
          <w:rFonts w:ascii="Arial" w:hAnsi="Arial"/>
          <w:sz w:val="22"/>
          <w:szCs w:val="22"/>
        </w:rPr>
        <w:t>1999-2000 al 2019-2020</w:t>
      </w:r>
      <w:r w:rsidR="002A76B0">
        <w:rPr>
          <w:rFonts w:ascii="Arial" w:hAnsi="Arial"/>
          <w:sz w:val="22"/>
          <w:szCs w:val="22"/>
        </w:rPr>
        <w:t xml:space="preserve"> (</w:t>
      </w:r>
      <w:r w:rsidR="005E3508" w:rsidRPr="005E3508">
        <w:rPr>
          <w:rFonts w:ascii="Arial" w:hAnsi="Arial"/>
          <w:sz w:val="22"/>
          <w:szCs w:val="22"/>
        </w:rPr>
        <w:t>da circa 380mila a poco meno di 1 milione 400mila</w:t>
      </w:r>
      <w:r w:rsidR="002A76B0">
        <w:rPr>
          <w:rFonts w:ascii="Arial" w:hAnsi="Arial"/>
          <w:sz w:val="22"/>
          <w:szCs w:val="22"/>
        </w:rPr>
        <w:t>)</w:t>
      </w:r>
      <w:r w:rsidR="005E3508" w:rsidRPr="005E3508">
        <w:rPr>
          <w:rFonts w:ascii="Arial" w:hAnsi="Arial"/>
          <w:sz w:val="22"/>
          <w:szCs w:val="22"/>
        </w:rPr>
        <w:t xml:space="preserve">. </w:t>
      </w:r>
      <w:r w:rsidR="006B123D">
        <w:rPr>
          <w:rFonts w:ascii="Arial" w:hAnsi="Arial"/>
          <w:sz w:val="22"/>
          <w:szCs w:val="22"/>
        </w:rPr>
        <w:t xml:space="preserve">Tale </w:t>
      </w:r>
      <w:r w:rsidR="005E3508" w:rsidRPr="005E3508">
        <w:rPr>
          <w:rFonts w:ascii="Arial" w:hAnsi="Arial"/>
          <w:sz w:val="22"/>
          <w:szCs w:val="22"/>
        </w:rPr>
        <w:t>incremento dipende prevalentemente dalla crescita delle libere unioni di celibi e nubili (da 170mila a 863mila circa).</w:t>
      </w:r>
    </w:p>
    <w:p w14:paraId="25617F7E" w14:textId="19CAC26B" w:rsidR="000730AF" w:rsidRDefault="000730AF" w:rsidP="00606626">
      <w:pPr>
        <w:pStyle w:val="RAtesto"/>
        <w:spacing w:line="240" w:lineRule="auto"/>
        <w:rPr>
          <w:rFonts w:ascii="Arial" w:hAnsi="Arial"/>
          <w:sz w:val="22"/>
          <w:szCs w:val="22"/>
        </w:rPr>
      </w:pPr>
      <w:r>
        <w:rPr>
          <w:rFonts w:ascii="Arial" w:hAnsi="Arial"/>
          <w:sz w:val="22"/>
          <w:szCs w:val="22"/>
        </w:rPr>
        <w:t>Negli ultimi due decenni</w:t>
      </w:r>
      <w:r w:rsidR="007629BE">
        <w:rPr>
          <w:rFonts w:ascii="Arial" w:hAnsi="Arial"/>
          <w:sz w:val="22"/>
          <w:szCs w:val="22"/>
        </w:rPr>
        <w:t>,</w:t>
      </w:r>
      <w:r>
        <w:rPr>
          <w:rFonts w:ascii="Arial" w:hAnsi="Arial"/>
          <w:sz w:val="22"/>
          <w:szCs w:val="22"/>
        </w:rPr>
        <w:t xml:space="preserve"> </w:t>
      </w:r>
      <w:r w:rsidR="007629BE">
        <w:rPr>
          <w:rFonts w:ascii="Arial" w:hAnsi="Arial"/>
          <w:sz w:val="22"/>
          <w:szCs w:val="22"/>
        </w:rPr>
        <w:t>inoltre,</w:t>
      </w:r>
      <w:r>
        <w:rPr>
          <w:rFonts w:ascii="Arial" w:hAnsi="Arial"/>
          <w:sz w:val="22"/>
          <w:szCs w:val="22"/>
        </w:rPr>
        <w:t xml:space="preserve"> i</w:t>
      </w:r>
      <w:r w:rsidRPr="00AF7ED2">
        <w:rPr>
          <w:rFonts w:ascii="Arial" w:hAnsi="Arial"/>
          <w:sz w:val="22"/>
          <w:szCs w:val="22"/>
        </w:rPr>
        <w:t xml:space="preserve">l </w:t>
      </w:r>
      <w:r w:rsidR="007629BE">
        <w:rPr>
          <w:rFonts w:ascii="Arial" w:hAnsi="Arial"/>
          <w:sz w:val="22"/>
          <w:szCs w:val="22"/>
        </w:rPr>
        <w:t xml:space="preserve">netto </w:t>
      </w:r>
      <w:r>
        <w:rPr>
          <w:rFonts w:ascii="Arial" w:hAnsi="Arial"/>
          <w:sz w:val="22"/>
          <w:szCs w:val="22"/>
        </w:rPr>
        <w:t>ridimensionamento</w:t>
      </w:r>
      <w:r w:rsidRPr="00AF7ED2">
        <w:rPr>
          <w:rFonts w:ascii="Arial" w:hAnsi="Arial"/>
          <w:sz w:val="22"/>
          <w:szCs w:val="22"/>
        </w:rPr>
        <w:t xml:space="preserve"> delle nuove generazioni, dovuto alla fecondità bassa e tardiva osservata a partire dalla </w:t>
      </w:r>
      <w:r w:rsidRPr="009E49A3">
        <w:rPr>
          <w:rFonts w:ascii="Arial" w:hAnsi="Arial"/>
          <w:sz w:val="22"/>
          <w:szCs w:val="22"/>
        </w:rPr>
        <w:t>metà degli anni Settanta,</w:t>
      </w:r>
      <w:r w:rsidRPr="009E49A3">
        <w:rPr>
          <w:rFonts w:ascii="Arial" w:hAnsi="Arial"/>
          <w:i/>
          <w:iCs/>
          <w:sz w:val="22"/>
          <w:szCs w:val="22"/>
        </w:rPr>
        <w:t xml:space="preserve"> </w:t>
      </w:r>
      <w:r w:rsidR="007629BE" w:rsidRPr="009E49A3">
        <w:rPr>
          <w:rFonts w:ascii="Arial" w:hAnsi="Arial"/>
          <w:iCs/>
          <w:sz w:val="22"/>
          <w:szCs w:val="22"/>
        </w:rPr>
        <w:t>ha prodotto</w:t>
      </w:r>
      <w:r w:rsidRPr="00AF7ED2">
        <w:rPr>
          <w:rFonts w:ascii="Arial" w:hAnsi="Arial"/>
          <w:sz w:val="22"/>
          <w:szCs w:val="22"/>
        </w:rPr>
        <w:t xml:space="preserve"> un effetto </w:t>
      </w:r>
      <w:r>
        <w:rPr>
          <w:rFonts w:ascii="Arial" w:hAnsi="Arial"/>
          <w:sz w:val="22"/>
          <w:szCs w:val="22"/>
        </w:rPr>
        <w:t xml:space="preserve">strutturale </w:t>
      </w:r>
      <w:r w:rsidRPr="00AF7ED2">
        <w:rPr>
          <w:rFonts w:ascii="Arial" w:hAnsi="Arial"/>
          <w:sz w:val="22"/>
          <w:szCs w:val="22"/>
        </w:rPr>
        <w:t>negativo sui matrimoni</w:t>
      </w:r>
      <w:r>
        <w:rPr>
          <w:rFonts w:ascii="Arial" w:hAnsi="Arial"/>
          <w:sz w:val="22"/>
          <w:szCs w:val="22"/>
        </w:rPr>
        <w:t xml:space="preserve"> così come sulle nascite. M</w:t>
      </w:r>
      <w:r w:rsidRPr="00AF7ED2">
        <w:rPr>
          <w:rFonts w:ascii="Arial" w:hAnsi="Arial"/>
          <w:sz w:val="22"/>
          <w:szCs w:val="22"/>
        </w:rPr>
        <w:t>an mano che queste generazioni</w:t>
      </w:r>
      <w:r>
        <w:rPr>
          <w:rFonts w:ascii="Arial" w:hAnsi="Arial"/>
          <w:sz w:val="22"/>
          <w:szCs w:val="22"/>
        </w:rPr>
        <w:t>,</w:t>
      </w:r>
      <w:r w:rsidRPr="00AF7ED2">
        <w:rPr>
          <w:rFonts w:ascii="Arial" w:hAnsi="Arial"/>
          <w:sz w:val="22"/>
          <w:szCs w:val="22"/>
        </w:rPr>
        <w:t xml:space="preserve"> </w:t>
      </w:r>
      <w:r>
        <w:rPr>
          <w:rFonts w:ascii="Arial" w:hAnsi="Arial"/>
          <w:sz w:val="22"/>
          <w:szCs w:val="22"/>
        </w:rPr>
        <w:t xml:space="preserve">molto </w:t>
      </w:r>
      <w:r w:rsidRPr="00AF7ED2">
        <w:rPr>
          <w:rFonts w:ascii="Arial" w:hAnsi="Arial"/>
          <w:sz w:val="22"/>
          <w:szCs w:val="22"/>
        </w:rPr>
        <w:t>meno numerose</w:t>
      </w:r>
      <w:r>
        <w:rPr>
          <w:rFonts w:ascii="Arial" w:hAnsi="Arial"/>
          <w:sz w:val="22"/>
          <w:szCs w:val="22"/>
        </w:rPr>
        <w:t xml:space="preserve"> di</w:t>
      </w:r>
      <w:r w:rsidR="006B123D">
        <w:rPr>
          <w:rFonts w:ascii="Arial" w:hAnsi="Arial"/>
          <w:sz w:val="22"/>
          <w:szCs w:val="22"/>
        </w:rPr>
        <w:t xml:space="preserve"> quelle dei</w:t>
      </w:r>
      <w:r>
        <w:rPr>
          <w:rFonts w:ascii="Arial" w:hAnsi="Arial"/>
          <w:sz w:val="22"/>
          <w:szCs w:val="22"/>
        </w:rPr>
        <w:t xml:space="preserve"> loro genitori, </w:t>
      </w:r>
      <w:r w:rsidRPr="00AF7ED2">
        <w:rPr>
          <w:rFonts w:ascii="Arial" w:hAnsi="Arial"/>
          <w:sz w:val="22"/>
          <w:szCs w:val="22"/>
        </w:rPr>
        <w:t xml:space="preserve">entrano </w:t>
      </w:r>
      <w:r>
        <w:rPr>
          <w:rFonts w:ascii="Arial" w:hAnsi="Arial"/>
          <w:sz w:val="22"/>
          <w:szCs w:val="22"/>
        </w:rPr>
        <w:t>nella fase d</w:t>
      </w:r>
      <w:r w:rsidRPr="00B666B3">
        <w:rPr>
          <w:rFonts w:ascii="Arial" w:hAnsi="Arial"/>
          <w:sz w:val="22"/>
          <w:szCs w:val="22"/>
        </w:rPr>
        <w:t>ella vita adulta</w:t>
      </w:r>
      <w:r>
        <w:rPr>
          <w:rFonts w:ascii="Arial" w:hAnsi="Arial"/>
          <w:sz w:val="22"/>
          <w:szCs w:val="22"/>
        </w:rPr>
        <w:t xml:space="preserve"> si riduce infatti la numerosità della popolazione in età da matrimonio e</w:t>
      </w:r>
      <w:r w:rsidR="007629BE">
        <w:rPr>
          <w:rFonts w:ascii="Arial" w:hAnsi="Arial"/>
          <w:sz w:val="22"/>
          <w:szCs w:val="22"/>
        </w:rPr>
        <w:t>,</w:t>
      </w:r>
      <w:r>
        <w:rPr>
          <w:rFonts w:ascii="Arial" w:hAnsi="Arial"/>
          <w:sz w:val="22"/>
          <w:szCs w:val="22"/>
        </w:rPr>
        <w:t xml:space="preserve"> di conseguenza, a parità</w:t>
      </w:r>
      <w:r w:rsidR="00AD658C">
        <w:rPr>
          <w:rFonts w:ascii="Arial" w:hAnsi="Arial"/>
          <w:sz w:val="22"/>
          <w:szCs w:val="22"/>
        </w:rPr>
        <w:t xml:space="preserve"> di propensione a sposarsi, cala</w:t>
      </w:r>
      <w:r>
        <w:rPr>
          <w:rFonts w:ascii="Arial" w:hAnsi="Arial"/>
          <w:sz w:val="22"/>
          <w:szCs w:val="22"/>
        </w:rPr>
        <w:t xml:space="preserve"> il numero assoluto di nozze</w:t>
      </w:r>
      <w:r w:rsidRPr="00B666B3">
        <w:rPr>
          <w:rFonts w:ascii="Arial" w:hAnsi="Arial"/>
          <w:sz w:val="22"/>
          <w:szCs w:val="22"/>
        </w:rPr>
        <w:t>.</w:t>
      </w:r>
      <w:r>
        <w:rPr>
          <w:rFonts w:ascii="Arial" w:hAnsi="Arial"/>
          <w:sz w:val="22"/>
          <w:szCs w:val="22"/>
        </w:rPr>
        <w:t xml:space="preserve"> </w:t>
      </w:r>
    </w:p>
    <w:p w14:paraId="23F17A15" w14:textId="7114E70F" w:rsidR="00606626" w:rsidRDefault="00606626" w:rsidP="00606626">
      <w:pPr>
        <w:pStyle w:val="RAtesto"/>
        <w:spacing w:line="240" w:lineRule="auto"/>
        <w:rPr>
          <w:rFonts w:ascii="Arial" w:hAnsi="Arial"/>
          <w:sz w:val="22"/>
          <w:szCs w:val="22"/>
        </w:rPr>
      </w:pPr>
    </w:p>
    <w:p w14:paraId="49F1158F" w14:textId="21F3545E" w:rsidR="00606626" w:rsidRDefault="00606626" w:rsidP="00606626">
      <w:pPr>
        <w:pStyle w:val="RAtesto"/>
        <w:spacing w:line="240" w:lineRule="auto"/>
        <w:rPr>
          <w:rFonts w:ascii="Arial" w:hAnsi="Arial"/>
          <w:sz w:val="22"/>
          <w:szCs w:val="22"/>
        </w:rPr>
      </w:pPr>
    </w:p>
    <w:p w14:paraId="0EF86561" w14:textId="77777777" w:rsidR="006B123D" w:rsidRDefault="006B123D" w:rsidP="00606626">
      <w:pPr>
        <w:pStyle w:val="RAtesto"/>
        <w:spacing w:line="240" w:lineRule="auto"/>
        <w:rPr>
          <w:rFonts w:ascii="Arial" w:hAnsi="Arial"/>
          <w:sz w:val="22"/>
          <w:szCs w:val="22"/>
        </w:rPr>
      </w:pPr>
    </w:p>
    <w:p w14:paraId="76FBEA4C" w14:textId="66EE28FE" w:rsidR="007629BE" w:rsidRDefault="007629BE" w:rsidP="00791272">
      <w:pPr>
        <w:pStyle w:val="RAtesto"/>
        <w:spacing w:line="240" w:lineRule="auto"/>
        <w:rPr>
          <w:rFonts w:ascii="Arial" w:hAnsi="Arial"/>
          <w:sz w:val="18"/>
          <w:szCs w:val="14"/>
        </w:rPr>
      </w:pPr>
    </w:p>
    <w:p w14:paraId="59A77FE6" w14:textId="77777777" w:rsidR="00313E58" w:rsidRPr="009016A1" w:rsidRDefault="00313E58" w:rsidP="00791272">
      <w:pPr>
        <w:pStyle w:val="RAtesto"/>
        <w:spacing w:line="240" w:lineRule="auto"/>
        <w:rPr>
          <w:rFonts w:ascii="Arial" w:hAnsi="Arial"/>
          <w:sz w:val="18"/>
          <w:szCs w:val="14"/>
        </w:rPr>
      </w:pPr>
    </w:p>
    <w:p w14:paraId="7C66E42F" w14:textId="4EA71FF0" w:rsidR="00D31CDB" w:rsidRPr="00BF0D8F" w:rsidRDefault="005772F5" w:rsidP="00E013D6">
      <w:pPr>
        <w:spacing w:before="40"/>
        <w:rPr>
          <w:rFonts w:ascii="Arial Black" w:hAnsi="Arial Black" w:cs="Arial"/>
          <w:iCs/>
          <w:noProof/>
          <w:color w:val="1F497D" w:themeColor="text2"/>
          <w:sz w:val="22"/>
          <w:szCs w:val="22"/>
        </w:rPr>
      </w:pPr>
      <w:r w:rsidRPr="005772F5">
        <w:rPr>
          <w:rFonts w:ascii="Arial Black" w:hAnsi="Arial Black" w:cs="Arial"/>
          <w:iCs/>
          <w:noProof/>
          <w:color w:val="1F497D" w:themeColor="text2"/>
          <w:sz w:val="22"/>
          <w:szCs w:val="22"/>
        </w:rPr>
        <w:t>MATRIMONI, UNIONI CIVILI, SEPARAZIONI E DIVORZI IN ITALIA</w:t>
      </w:r>
    </w:p>
    <w:p w14:paraId="22033A5D" w14:textId="2E0E7320" w:rsidR="00E5781A" w:rsidRDefault="00C42D57" w:rsidP="00313E58">
      <w:pPr>
        <w:spacing w:after="240"/>
        <w:rPr>
          <w:rFonts w:ascii="Arial Narrow" w:hAnsi="Arial Narrow" w:cs="Arial"/>
          <w:color w:val="1F497D" w:themeColor="text2"/>
          <w:sz w:val="22"/>
          <w:szCs w:val="22"/>
        </w:rPr>
      </w:pPr>
      <w:r w:rsidRPr="0065736C">
        <w:rPr>
          <w:rFonts w:ascii="Arial Narrow" w:hAnsi="Arial Narrow" w:cs="Arial"/>
          <w:color w:val="1F497D" w:themeColor="text2"/>
          <w:sz w:val="22"/>
          <w:szCs w:val="22"/>
        </w:rPr>
        <w:t>A</w:t>
      </w:r>
      <w:r w:rsidR="003B7EF6">
        <w:rPr>
          <w:rFonts w:ascii="Arial Narrow" w:hAnsi="Arial Narrow" w:cs="Arial"/>
          <w:color w:val="1F497D" w:themeColor="text2"/>
          <w:sz w:val="22"/>
          <w:szCs w:val="22"/>
        </w:rPr>
        <w:t>nni 2008</w:t>
      </w:r>
      <w:r w:rsidR="005772F5">
        <w:rPr>
          <w:rFonts w:ascii="Arial Narrow" w:hAnsi="Arial Narrow" w:cs="Arial"/>
          <w:color w:val="1F497D" w:themeColor="text2"/>
          <w:sz w:val="22"/>
          <w:szCs w:val="22"/>
        </w:rPr>
        <w:t>-20</w:t>
      </w:r>
      <w:r w:rsidR="003C4CD2">
        <w:rPr>
          <w:rFonts w:ascii="Arial Narrow" w:hAnsi="Arial Narrow" w:cs="Arial"/>
          <w:color w:val="1F497D" w:themeColor="text2"/>
          <w:sz w:val="22"/>
          <w:szCs w:val="22"/>
        </w:rPr>
        <w:t>20</w:t>
      </w:r>
      <w:r w:rsidR="00A2532B" w:rsidRPr="0065736C">
        <w:rPr>
          <w:rFonts w:ascii="Arial Narrow" w:hAnsi="Arial Narrow" w:cs="Arial"/>
          <w:color w:val="1F497D" w:themeColor="text2"/>
          <w:sz w:val="22"/>
          <w:szCs w:val="22"/>
        </w:rPr>
        <w:t xml:space="preserve">, </w:t>
      </w:r>
      <w:r w:rsidR="00792B2D">
        <w:rPr>
          <w:rFonts w:ascii="Arial Narrow" w:hAnsi="Arial Narrow" w:cs="Arial"/>
          <w:color w:val="1F497D" w:themeColor="text2"/>
          <w:sz w:val="22"/>
          <w:szCs w:val="22"/>
        </w:rPr>
        <w:t>valori assoluti, percentuali e per mille</w:t>
      </w:r>
      <w:r w:rsidR="00A2532B">
        <w:rPr>
          <w:rFonts w:ascii="Arial Narrow" w:hAnsi="Arial Narrow" w:cs="Arial"/>
          <w:color w:val="1F497D" w:themeColor="text2"/>
          <w:sz w:val="22"/>
          <w:szCs w:val="22"/>
        </w:rPr>
        <w:t xml:space="preserve"> </w:t>
      </w:r>
    </w:p>
    <w:tbl>
      <w:tblPr>
        <w:tblW w:w="10282" w:type="dxa"/>
        <w:tblLook w:val="04A0" w:firstRow="1" w:lastRow="0" w:firstColumn="1" w:lastColumn="0" w:noHBand="0" w:noVBand="1"/>
      </w:tblPr>
      <w:tblGrid>
        <w:gridCol w:w="3119"/>
        <w:gridCol w:w="720"/>
        <w:gridCol w:w="720"/>
        <w:gridCol w:w="720"/>
        <w:gridCol w:w="720"/>
        <w:gridCol w:w="720"/>
        <w:gridCol w:w="720"/>
        <w:gridCol w:w="720"/>
        <w:gridCol w:w="720"/>
        <w:gridCol w:w="760"/>
        <w:gridCol w:w="643"/>
      </w:tblGrid>
      <w:tr w:rsidR="00FC15D1" w:rsidRPr="00C76837" w14:paraId="130E1E49" w14:textId="0F8DEBEE" w:rsidTr="00FC15D1">
        <w:trPr>
          <w:trHeight w:val="227"/>
        </w:trPr>
        <w:tc>
          <w:tcPr>
            <w:tcW w:w="3119" w:type="dxa"/>
            <w:tcBorders>
              <w:left w:val="nil"/>
              <w:right w:val="nil"/>
            </w:tcBorders>
            <w:shd w:val="clear" w:color="auto" w:fill="1F497D"/>
            <w:vAlign w:val="bottom"/>
            <w:hideMark/>
          </w:tcPr>
          <w:p w14:paraId="49B9C543" w14:textId="77777777" w:rsidR="00FC15D1" w:rsidRPr="00C76837" w:rsidRDefault="00FC15D1" w:rsidP="00FC15D1">
            <w:pPr>
              <w:jc w:val="both"/>
              <w:rPr>
                <w:rFonts w:ascii="Arial Narrow" w:hAnsi="Arial Narrow"/>
                <w:b/>
                <w:bCs/>
                <w:color w:val="FFFFFF" w:themeColor="background1"/>
                <w:sz w:val="18"/>
                <w:szCs w:val="18"/>
              </w:rPr>
            </w:pPr>
            <w:r w:rsidRPr="00C76837">
              <w:rPr>
                <w:rFonts w:ascii="Arial Narrow" w:hAnsi="Arial Narrow"/>
                <w:b/>
                <w:bCs/>
                <w:color w:val="FFFFFF" w:themeColor="background1"/>
                <w:sz w:val="18"/>
                <w:szCs w:val="18"/>
              </w:rPr>
              <w:t>PRINCIPALI INDICATORI</w:t>
            </w:r>
          </w:p>
        </w:tc>
        <w:tc>
          <w:tcPr>
            <w:tcW w:w="720" w:type="dxa"/>
            <w:tcBorders>
              <w:left w:val="nil"/>
              <w:right w:val="nil"/>
            </w:tcBorders>
            <w:shd w:val="clear" w:color="auto" w:fill="1F497D"/>
            <w:vAlign w:val="center"/>
            <w:hideMark/>
          </w:tcPr>
          <w:p w14:paraId="76D17B65" w14:textId="00F216A6"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2008</w:t>
            </w:r>
          </w:p>
        </w:tc>
        <w:tc>
          <w:tcPr>
            <w:tcW w:w="720" w:type="dxa"/>
            <w:tcBorders>
              <w:left w:val="nil"/>
              <w:right w:val="nil"/>
            </w:tcBorders>
            <w:shd w:val="clear" w:color="auto" w:fill="1F497D"/>
            <w:vAlign w:val="center"/>
            <w:hideMark/>
          </w:tcPr>
          <w:p w14:paraId="5D77CCA6" w14:textId="704D3C4C"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2010</w:t>
            </w:r>
          </w:p>
        </w:tc>
        <w:tc>
          <w:tcPr>
            <w:tcW w:w="720" w:type="dxa"/>
            <w:tcBorders>
              <w:left w:val="nil"/>
              <w:right w:val="nil"/>
            </w:tcBorders>
            <w:shd w:val="clear" w:color="auto" w:fill="1F497D"/>
            <w:vAlign w:val="center"/>
            <w:hideMark/>
          </w:tcPr>
          <w:p w14:paraId="57F2D8FD" w14:textId="06B89B2D"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2012</w:t>
            </w:r>
          </w:p>
        </w:tc>
        <w:tc>
          <w:tcPr>
            <w:tcW w:w="720" w:type="dxa"/>
            <w:tcBorders>
              <w:left w:val="nil"/>
              <w:right w:val="nil"/>
            </w:tcBorders>
            <w:shd w:val="clear" w:color="auto" w:fill="1F497D"/>
            <w:vAlign w:val="center"/>
            <w:hideMark/>
          </w:tcPr>
          <w:p w14:paraId="1A7B5634" w14:textId="0B7FC386"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2014</w:t>
            </w:r>
          </w:p>
        </w:tc>
        <w:tc>
          <w:tcPr>
            <w:tcW w:w="720" w:type="dxa"/>
            <w:tcBorders>
              <w:left w:val="nil"/>
              <w:right w:val="nil"/>
            </w:tcBorders>
            <w:shd w:val="clear" w:color="auto" w:fill="1F497D"/>
            <w:vAlign w:val="center"/>
            <w:hideMark/>
          </w:tcPr>
          <w:p w14:paraId="08A6B8C6" w14:textId="2CFDBBAB"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2015</w:t>
            </w:r>
          </w:p>
        </w:tc>
        <w:tc>
          <w:tcPr>
            <w:tcW w:w="720" w:type="dxa"/>
            <w:tcBorders>
              <w:left w:val="nil"/>
              <w:right w:val="nil"/>
            </w:tcBorders>
            <w:shd w:val="clear" w:color="auto" w:fill="1F497D"/>
            <w:vAlign w:val="center"/>
            <w:hideMark/>
          </w:tcPr>
          <w:p w14:paraId="7F0B3A06" w14:textId="562C9C49"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2016</w:t>
            </w:r>
          </w:p>
        </w:tc>
        <w:tc>
          <w:tcPr>
            <w:tcW w:w="720" w:type="dxa"/>
            <w:tcBorders>
              <w:left w:val="nil"/>
              <w:right w:val="nil"/>
            </w:tcBorders>
            <w:shd w:val="clear" w:color="auto" w:fill="1F497D"/>
            <w:vAlign w:val="center"/>
            <w:hideMark/>
          </w:tcPr>
          <w:p w14:paraId="6CBDFDED" w14:textId="76803E01"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2017</w:t>
            </w:r>
          </w:p>
        </w:tc>
        <w:tc>
          <w:tcPr>
            <w:tcW w:w="720" w:type="dxa"/>
            <w:tcBorders>
              <w:left w:val="nil"/>
              <w:right w:val="nil"/>
            </w:tcBorders>
            <w:shd w:val="clear" w:color="auto" w:fill="1F497D"/>
            <w:vAlign w:val="center"/>
            <w:hideMark/>
          </w:tcPr>
          <w:p w14:paraId="4FC34FC7" w14:textId="5D6B83C4"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2018</w:t>
            </w:r>
          </w:p>
        </w:tc>
        <w:tc>
          <w:tcPr>
            <w:tcW w:w="760" w:type="dxa"/>
            <w:tcBorders>
              <w:left w:val="nil"/>
              <w:right w:val="nil"/>
            </w:tcBorders>
            <w:shd w:val="clear" w:color="auto" w:fill="1F497D"/>
            <w:vAlign w:val="center"/>
            <w:hideMark/>
          </w:tcPr>
          <w:p w14:paraId="12D867AD" w14:textId="35B993A0"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2019</w:t>
            </w:r>
          </w:p>
        </w:tc>
        <w:tc>
          <w:tcPr>
            <w:tcW w:w="643" w:type="dxa"/>
            <w:tcBorders>
              <w:left w:val="nil"/>
              <w:right w:val="nil"/>
            </w:tcBorders>
            <w:shd w:val="clear" w:color="auto" w:fill="1F497D"/>
            <w:vAlign w:val="center"/>
          </w:tcPr>
          <w:p w14:paraId="52A0BB5D" w14:textId="2B612191" w:rsidR="00FC15D1" w:rsidRPr="00C76837" w:rsidRDefault="00FC15D1" w:rsidP="00FC15D1">
            <w:pPr>
              <w:jc w:val="center"/>
              <w:rPr>
                <w:rFonts w:ascii="Arial Narrow" w:hAnsi="Arial Narrow"/>
                <w:b/>
                <w:bCs/>
                <w:color w:val="FFFFFF" w:themeColor="background1"/>
                <w:sz w:val="18"/>
                <w:szCs w:val="18"/>
              </w:rPr>
            </w:pPr>
            <w:r w:rsidRPr="00C76837">
              <w:rPr>
                <w:rFonts w:ascii="Arial Narrow" w:hAnsi="Arial Narrow"/>
                <w:b/>
                <w:bCs/>
                <w:color w:val="FFFFFF"/>
                <w:sz w:val="18"/>
                <w:szCs w:val="18"/>
              </w:rPr>
              <w:t>2020</w:t>
            </w:r>
          </w:p>
        </w:tc>
      </w:tr>
      <w:tr w:rsidR="00FC15D1" w:rsidRPr="00C76837" w14:paraId="23530C9E" w14:textId="7B40B792" w:rsidTr="00C643A9">
        <w:trPr>
          <w:trHeight w:val="227"/>
        </w:trPr>
        <w:tc>
          <w:tcPr>
            <w:tcW w:w="3119" w:type="dxa"/>
            <w:tcBorders>
              <w:left w:val="nil"/>
              <w:bottom w:val="single" w:sz="8" w:space="0" w:color="FFFFFF"/>
              <w:right w:val="nil"/>
            </w:tcBorders>
            <w:shd w:val="clear" w:color="auto" w:fill="auto"/>
            <w:vAlign w:val="bottom"/>
            <w:hideMark/>
          </w:tcPr>
          <w:p w14:paraId="1FAC801B"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Matrimoni totali</w:t>
            </w:r>
          </w:p>
        </w:tc>
        <w:tc>
          <w:tcPr>
            <w:tcW w:w="720" w:type="dxa"/>
            <w:tcBorders>
              <w:left w:val="nil"/>
              <w:bottom w:val="single" w:sz="8" w:space="0" w:color="FFFFFF"/>
              <w:right w:val="nil"/>
            </w:tcBorders>
            <w:shd w:val="clear" w:color="auto" w:fill="D9D9D9" w:themeFill="background1" w:themeFillShade="D9"/>
            <w:vAlign w:val="center"/>
            <w:hideMark/>
          </w:tcPr>
          <w:p w14:paraId="37BB5E61" w14:textId="7976C715" w:rsidR="00FC15D1" w:rsidRPr="00C76837" w:rsidRDefault="00FC15D1" w:rsidP="00FC15D1">
            <w:pPr>
              <w:spacing w:before="20" w:after="40"/>
              <w:jc w:val="center"/>
              <w:rPr>
                <w:rFonts w:ascii="Arial Narrow" w:hAnsi="Arial Narrow"/>
                <w:sz w:val="17"/>
                <w:szCs w:val="17"/>
              </w:rPr>
            </w:pPr>
            <w:r w:rsidRPr="00C76837">
              <w:rPr>
                <w:rFonts w:ascii="Arial Narrow" w:hAnsi="Arial Narrow"/>
                <w:color w:val="000000"/>
                <w:sz w:val="17"/>
                <w:szCs w:val="17"/>
              </w:rPr>
              <w:t>246.613</w:t>
            </w:r>
          </w:p>
        </w:tc>
        <w:tc>
          <w:tcPr>
            <w:tcW w:w="720" w:type="dxa"/>
            <w:tcBorders>
              <w:left w:val="nil"/>
              <w:bottom w:val="single" w:sz="8" w:space="0" w:color="FFFFFF"/>
              <w:right w:val="nil"/>
            </w:tcBorders>
            <w:shd w:val="clear" w:color="auto" w:fill="auto"/>
            <w:vAlign w:val="center"/>
            <w:hideMark/>
          </w:tcPr>
          <w:p w14:paraId="2A208F86" w14:textId="5D6D906F"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217.700</w:t>
            </w:r>
          </w:p>
        </w:tc>
        <w:tc>
          <w:tcPr>
            <w:tcW w:w="720" w:type="dxa"/>
            <w:tcBorders>
              <w:left w:val="nil"/>
              <w:bottom w:val="single" w:sz="8" w:space="0" w:color="FFFFFF"/>
              <w:right w:val="nil"/>
            </w:tcBorders>
            <w:shd w:val="clear" w:color="auto" w:fill="D9D9D9" w:themeFill="background1" w:themeFillShade="D9"/>
            <w:vAlign w:val="center"/>
            <w:hideMark/>
          </w:tcPr>
          <w:p w14:paraId="3E2ECAD1" w14:textId="03BDD67A"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207.138</w:t>
            </w:r>
          </w:p>
        </w:tc>
        <w:tc>
          <w:tcPr>
            <w:tcW w:w="720" w:type="dxa"/>
            <w:tcBorders>
              <w:left w:val="nil"/>
              <w:bottom w:val="single" w:sz="8" w:space="0" w:color="FFFFFF"/>
              <w:right w:val="nil"/>
            </w:tcBorders>
            <w:shd w:val="clear" w:color="auto" w:fill="auto"/>
            <w:vAlign w:val="center"/>
            <w:hideMark/>
          </w:tcPr>
          <w:p w14:paraId="2427842D" w14:textId="4F6BFC46"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189.765</w:t>
            </w:r>
          </w:p>
        </w:tc>
        <w:tc>
          <w:tcPr>
            <w:tcW w:w="720" w:type="dxa"/>
            <w:tcBorders>
              <w:left w:val="nil"/>
              <w:bottom w:val="single" w:sz="8" w:space="0" w:color="FFFFFF"/>
              <w:right w:val="nil"/>
            </w:tcBorders>
            <w:shd w:val="clear" w:color="auto" w:fill="D9D9D9" w:themeFill="background1" w:themeFillShade="D9"/>
            <w:vAlign w:val="center"/>
            <w:hideMark/>
          </w:tcPr>
          <w:p w14:paraId="1B067A6E" w14:textId="01ACC71D"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194.377</w:t>
            </w:r>
          </w:p>
        </w:tc>
        <w:tc>
          <w:tcPr>
            <w:tcW w:w="720" w:type="dxa"/>
            <w:tcBorders>
              <w:left w:val="nil"/>
              <w:bottom w:val="single" w:sz="8" w:space="0" w:color="FFFFFF"/>
              <w:right w:val="nil"/>
            </w:tcBorders>
            <w:shd w:val="clear" w:color="auto" w:fill="auto"/>
            <w:vAlign w:val="center"/>
            <w:hideMark/>
          </w:tcPr>
          <w:p w14:paraId="62939DC2" w14:textId="51409843"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203.258</w:t>
            </w:r>
          </w:p>
        </w:tc>
        <w:tc>
          <w:tcPr>
            <w:tcW w:w="720" w:type="dxa"/>
            <w:tcBorders>
              <w:left w:val="nil"/>
              <w:bottom w:val="single" w:sz="8" w:space="0" w:color="FFFFFF"/>
              <w:right w:val="nil"/>
            </w:tcBorders>
            <w:shd w:val="clear" w:color="auto" w:fill="D9D9D9" w:themeFill="background1" w:themeFillShade="D9"/>
            <w:vAlign w:val="center"/>
            <w:hideMark/>
          </w:tcPr>
          <w:p w14:paraId="54180679" w14:textId="3E39EAB7"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191.287</w:t>
            </w:r>
          </w:p>
        </w:tc>
        <w:tc>
          <w:tcPr>
            <w:tcW w:w="720" w:type="dxa"/>
            <w:tcBorders>
              <w:left w:val="nil"/>
              <w:bottom w:val="single" w:sz="8" w:space="0" w:color="FFFFFF"/>
              <w:right w:val="nil"/>
            </w:tcBorders>
            <w:shd w:val="clear" w:color="auto" w:fill="auto"/>
            <w:vAlign w:val="center"/>
            <w:hideMark/>
          </w:tcPr>
          <w:p w14:paraId="38BD387C" w14:textId="283F0D9B"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195.778</w:t>
            </w:r>
          </w:p>
        </w:tc>
        <w:tc>
          <w:tcPr>
            <w:tcW w:w="760" w:type="dxa"/>
            <w:tcBorders>
              <w:left w:val="nil"/>
              <w:bottom w:val="single" w:sz="8" w:space="0" w:color="FFFFFF"/>
              <w:right w:val="nil"/>
            </w:tcBorders>
            <w:shd w:val="clear" w:color="auto" w:fill="D9D9D9" w:themeFill="background1" w:themeFillShade="D9"/>
            <w:vAlign w:val="center"/>
            <w:hideMark/>
          </w:tcPr>
          <w:p w14:paraId="4E2CAF6F" w14:textId="2A4BA779" w:rsidR="00FC15D1" w:rsidRPr="00C76837" w:rsidRDefault="00FC15D1" w:rsidP="00FC15D1">
            <w:pPr>
              <w:spacing w:after="40"/>
              <w:jc w:val="center"/>
              <w:rPr>
                <w:rFonts w:ascii="Arial Narrow" w:hAnsi="Arial Narrow"/>
                <w:sz w:val="17"/>
                <w:szCs w:val="17"/>
              </w:rPr>
            </w:pPr>
            <w:r w:rsidRPr="00C76837">
              <w:rPr>
                <w:rFonts w:ascii="Arial Narrow" w:hAnsi="Arial Narrow"/>
                <w:color w:val="000000"/>
                <w:sz w:val="17"/>
                <w:szCs w:val="17"/>
              </w:rPr>
              <w:t>184.088</w:t>
            </w:r>
          </w:p>
        </w:tc>
        <w:tc>
          <w:tcPr>
            <w:tcW w:w="643" w:type="dxa"/>
            <w:tcBorders>
              <w:left w:val="nil"/>
              <w:bottom w:val="single" w:sz="8" w:space="0" w:color="FFFFFF"/>
              <w:right w:val="nil"/>
            </w:tcBorders>
            <w:shd w:val="clear" w:color="auto" w:fill="F2F2F2" w:themeFill="background1" w:themeFillShade="F2"/>
            <w:vAlign w:val="center"/>
          </w:tcPr>
          <w:p w14:paraId="7CCF659B" w14:textId="19AC5E85"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96.841</w:t>
            </w:r>
          </w:p>
        </w:tc>
      </w:tr>
      <w:tr w:rsidR="00FC15D1" w:rsidRPr="00C76837" w14:paraId="4F8C1010" w14:textId="3B79D808" w:rsidTr="00C643A9">
        <w:trPr>
          <w:trHeight w:val="227"/>
        </w:trPr>
        <w:tc>
          <w:tcPr>
            <w:tcW w:w="3119" w:type="dxa"/>
            <w:tcBorders>
              <w:top w:val="nil"/>
              <w:left w:val="nil"/>
              <w:bottom w:val="single" w:sz="8" w:space="0" w:color="FFFFFF"/>
              <w:right w:val="nil"/>
            </w:tcBorders>
            <w:shd w:val="clear" w:color="auto" w:fill="auto"/>
            <w:vAlign w:val="bottom"/>
            <w:hideMark/>
          </w:tcPr>
          <w:p w14:paraId="4417D454"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Matrimoni di sposi entrambi italiani</w:t>
            </w:r>
          </w:p>
        </w:tc>
        <w:tc>
          <w:tcPr>
            <w:tcW w:w="720" w:type="dxa"/>
            <w:tcBorders>
              <w:top w:val="nil"/>
              <w:left w:val="nil"/>
              <w:bottom w:val="single" w:sz="8" w:space="0" w:color="FFFFFF"/>
              <w:right w:val="nil"/>
            </w:tcBorders>
            <w:shd w:val="clear" w:color="auto" w:fill="D9D9D9" w:themeFill="background1" w:themeFillShade="D9"/>
            <w:vAlign w:val="center"/>
            <w:hideMark/>
          </w:tcPr>
          <w:p w14:paraId="61396691" w14:textId="2727925C"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209.695</w:t>
            </w:r>
          </w:p>
        </w:tc>
        <w:tc>
          <w:tcPr>
            <w:tcW w:w="720" w:type="dxa"/>
            <w:tcBorders>
              <w:top w:val="nil"/>
              <w:left w:val="nil"/>
              <w:bottom w:val="single" w:sz="8" w:space="0" w:color="FFFFFF"/>
              <w:right w:val="nil"/>
            </w:tcBorders>
            <w:shd w:val="clear" w:color="auto" w:fill="auto"/>
            <w:vAlign w:val="center"/>
            <w:hideMark/>
          </w:tcPr>
          <w:p w14:paraId="7220B086" w14:textId="46C123D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192.618</w:t>
            </w:r>
          </w:p>
        </w:tc>
        <w:tc>
          <w:tcPr>
            <w:tcW w:w="720" w:type="dxa"/>
            <w:tcBorders>
              <w:top w:val="nil"/>
              <w:left w:val="nil"/>
              <w:bottom w:val="single" w:sz="8" w:space="0" w:color="FFFFFF"/>
              <w:right w:val="nil"/>
            </w:tcBorders>
            <w:shd w:val="clear" w:color="auto" w:fill="D9D9D9" w:themeFill="background1" w:themeFillShade="D9"/>
            <w:vAlign w:val="center"/>
            <w:hideMark/>
          </w:tcPr>
          <w:p w14:paraId="6B20FB70" w14:textId="5A9A8C82"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176.414</w:t>
            </w:r>
          </w:p>
        </w:tc>
        <w:tc>
          <w:tcPr>
            <w:tcW w:w="720" w:type="dxa"/>
            <w:tcBorders>
              <w:top w:val="nil"/>
              <w:left w:val="nil"/>
              <w:bottom w:val="single" w:sz="8" w:space="0" w:color="FFFFFF"/>
              <w:right w:val="nil"/>
            </w:tcBorders>
            <w:shd w:val="clear" w:color="auto" w:fill="auto"/>
            <w:vAlign w:val="center"/>
            <w:hideMark/>
          </w:tcPr>
          <w:p w14:paraId="6B5AF424" w14:textId="725CB3A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161.487</w:t>
            </w:r>
          </w:p>
        </w:tc>
        <w:tc>
          <w:tcPr>
            <w:tcW w:w="720" w:type="dxa"/>
            <w:tcBorders>
              <w:top w:val="nil"/>
              <w:left w:val="nil"/>
              <w:bottom w:val="single" w:sz="8" w:space="0" w:color="FFFFFF"/>
              <w:right w:val="nil"/>
            </w:tcBorders>
            <w:shd w:val="clear" w:color="auto" w:fill="D9D9D9" w:themeFill="background1" w:themeFillShade="D9"/>
            <w:vAlign w:val="center"/>
            <w:hideMark/>
          </w:tcPr>
          <w:p w14:paraId="1B54FE0B" w14:textId="4F87EAF6"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164.952</w:t>
            </w:r>
          </w:p>
        </w:tc>
        <w:tc>
          <w:tcPr>
            <w:tcW w:w="720" w:type="dxa"/>
            <w:tcBorders>
              <w:top w:val="nil"/>
              <w:left w:val="nil"/>
              <w:bottom w:val="single" w:sz="8" w:space="0" w:color="FFFFFF"/>
              <w:right w:val="nil"/>
            </w:tcBorders>
            <w:shd w:val="clear" w:color="auto" w:fill="auto"/>
            <w:vAlign w:val="center"/>
            <w:hideMark/>
          </w:tcPr>
          <w:p w14:paraId="26A2B44E" w14:textId="3BDE2267"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172.142</w:t>
            </w:r>
          </w:p>
        </w:tc>
        <w:tc>
          <w:tcPr>
            <w:tcW w:w="720" w:type="dxa"/>
            <w:tcBorders>
              <w:top w:val="nil"/>
              <w:left w:val="nil"/>
              <w:bottom w:val="single" w:sz="8" w:space="0" w:color="FFFFFF"/>
              <w:right w:val="nil"/>
            </w:tcBorders>
            <w:shd w:val="clear" w:color="auto" w:fill="D9D9D9" w:themeFill="background1" w:themeFillShade="D9"/>
            <w:vAlign w:val="center"/>
            <w:hideMark/>
          </w:tcPr>
          <w:p w14:paraId="4AEBD2AD" w14:textId="03ECE137"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158.964</w:t>
            </w:r>
          </w:p>
        </w:tc>
        <w:tc>
          <w:tcPr>
            <w:tcW w:w="720" w:type="dxa"/>
            <w:tcBorders>
              <w:top w:val="nil"/>
              <w:left w:val="nil"/>
              <w:bottom w:val="single" w:sz="8" w:space="0" w:color="FFFFFF"/>
              <w:right w:val="nil"/>
            </w:tcBorders>
            <w:shd w:val="clear" w:color="auto" w:fill="auto"/>
            <w:vAlign w:val="center"/>
            <w:hideMark/>
          </w:tcPr>
          <w:p w14:paraId="53FE157B" w14:textId="63FE2BA6"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161.845</w:t>
            </w:r>
          </w:p>
        </w:tc>
        <w:tc>
          <w:tcPr>
            <w:tcW w:w="760" w:type="dxa"/>
            <w:tcBorders>
              <w:top w:val="nil"/>
              <w:left w:val="nil"/>
              <w:bottom w:val="single" w:sz="8" w:space="0" w:color="FFFFFF"/>
              <w:right w:val="nil"/>
            </w:tcBorders>
            <w:shd w:val="clear" w:color="auto" w:fill="D9D9D9" w:themeFill="background1" w:themeFillShade="D9"/>
            <w:vAlign w:val="center"/>
            <w:hideMark/>
          </w:tcPr>
          <w:p w14:paraId="558AF955" w14:textId="500202FB"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149.903</w:t>
            </w:r>
          </w:p>
        </w:tc>
        <w:tc>
          <w:tcPr>
            <w:tcW w:w="643" w:type="dxa"/>
            <w:tcBorders>
              <w:top w:val="nil"/>
              <w:left w:val="nil"/>
              <w:bottom w:val="single" w:sz="8" w:space="0" w:color="FFFFFF"/>
              <w:right w:val="nil"/>
            </w:tcBorders>
            <w:shd w:val="clear" w:color="auto" w:fill="F2F2F2" w:themeFill="background1" w:themeFillShade="F2"/>
            <w:vAlign w:val="center"/>
          </w:tcPr>
          <w:p w14:paraId="4C6173F6" w14:textId="5B9E91C9"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78.009</w:t>
            </w:r>
          </w:p>
        </w:tc>
      </w:tr>
      <w:tr w:rsidR="00FC15D1" w:rsidRPr="00C76837" w14:paraId="0BE8230B" w14:textId="51AA8207" w:rsidTr="00C643A9">
        <w:trPr>
          <w:trHeight w:val="227"/>
        </w:trPr>
        <w:tc>
          <w:tcPr>
            <w:tcW w:w="3119" w:type="dxa"/>
            <w:tcBorders>
              <w:top w:val="nil"/>
              <w:left w:val="nil"/>
              <w:bottom w:val="single" w:sz="8" w:space="0" w:color="FFFFFF"/>
              <w:right w:val="nil"/>
            </w:tcBorders>
            <w:shd w:val="clear" w:color="auto" w:fill="auto"/>
            <w:vAlign w:val="bottom"/>
            <w:hideMark/>
          </w:tcPr>
          <w:p w14:paraId="4B511C04"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Primi matrimoni</w:t>
            </w:r>
          </w:p>
        </w:tc>
        <w:tc>
          <w:tcPr>
            <w:tcW w:w="720" w:type="dxa"/>
            <w:tcBorders>
              <w:top w:val="nil"/>
              <w:left w:val="nil"/>
              <w:bottom w:val="single" w:sz="8" w:space="0" w:color="FFFFFF"/>
              <w:right w:val="nil"/>
            </w:tcBorders>
            <w:shd w:val="clear" w:color="auto" w:fill="D9D9D9" w:themeFill="background1" w:themeFillShade="D9"/>
            <w:vAlign w:val="center"/>
            <w:hideMark/>
          </w:tcPr>
          <w:p w14:paraId="01AC9601" w14:textId="428A6727"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212.476</w:t>
            </w:r>
          </w:p>
        </w:tc>
        <w:tc>
          <w:tcPr>
            <w:tcW w:w="720" w:type="dxa"/>
            <w:tcBorders>
              <w:top w:val="nil"/>
              <w:left w:val="nil"/>
              <w:bottom w:val="single" w:sz="8" w:space="0" w:color="FFFFFF"/>
              <w:right w:val="nil"/>
            </w:tcBorders>
            <w:shd w:val="clear" w:color="auto" w:fill="auto"/>
            <w:vAlign w:val="center"/>
            <w:hideMark/>
          </w:tcPr>
          <w:p w14:paraId="550361F4" w14:textId="7CDA08D1"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186.045</w:t>
            </w:r>
          </w:p>
        </w:tc>
        <w:tc>
          <w:tcPr>
            <w:tcW w:w="720" w:type="dxa"/>
            <w:tcBorders>
              <w:top w:val="nil"/>
              <w:left w:val="nil"/>
              <w:bottom w:val="single" w:sz="8" w:space="0" w:color="FFFFFF"/>
              <w:right w:val="nil"/>
            </w:tcBorders>
            <w:shd w:val="clear" w:color="auto" w:fill="D9D9D9" w:themeFill="background1" w:themeFillShade="D9"/>
            <w:vAlign w:val="center"/>
            <w:hideMark/>
          </w:tcPr>
          <w:p w14:paraId="7DD1B351" w14:textId="0669EA90"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174.583</w:t>
            </w:r>
          </w:p>
        </w:tc>
        <w:tc>
          <w:tcPr>
            <w:tcW w:w="720" w:type="dxa"/>
            <w:tcBorders>
              <w:top w:val="nil"/>
              <w:left w:val="nil"/>
              <w:bottom w:val="single" w:sz="8" w:space="0" w:color="FFFFFF"/>
              <w:right w:val="nil"/>
            </w:tcBorders>
            <w:shd w:val="clear" w:color="auto" w:fill="auto"/>
            <w:vAlign w:val="center"/>
            <w:hideMark/>
          </w:tcPr>
          <w:p w14:paraId="70D92DEC" w14:textId="5E1C3BAA"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159.127</w:t>
            </w:r>
          </w:p>
        </w:tc>
        <w:tc>
          <w:tcPr>
            <w:tcW w:w="720" w:type="dxa"/>
            <w:tcBorders>
              <w:top w:val="nil"/>
              <w:left w:val="nil"/>
              <w:bottom w:val="single" w:sz="8" w:space="0" w:color="FFFFFF"/>
              <w:right w:val="nil"/>
            </w:tcBorders>
            <w:shd w:val="clear" w:color="auto" w:fill="D9D9D9" w:themeFill="background1" w:themeFillShade="D9"/>
            <w:vAlign w:val="center"/>
            <w:hideMark/>
          </w:tcPr>
          <w:p w14:paraId="56C3AE8B" w14:textId="6CEF6D27"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160.798</w:t>
            </w:r>
          </w:p>
        </w:tc>
        <w:tc>
          <w:tcPr>
            <w:tcW w:w="720" w:type="dxa"/>
            <w:tcBorders>
              <w:top w:val="nil"/>
              <w:left w:val="nil"/>
              <w:bottom w:val="single" w:sz="8" w:space="0" w:color="FFFFFF"/>
              <w:right w:val="nil"/>
            </w:tcBorders>
            <w:shd w:val="clear" w:color="auto" w:fill="auto"/>
            <w:vAlign w:val="center"/>
            <w:hideMark/>
          </w:tcPr>
          <w:p w14:paraId="2C0BF56C" w14:textId="57CA45AD"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165.316</w:t>
            </w:r>
          </w:p>
        </w:tc>
        <w:tc>
          <w:tcPr>
            <w:tcW w:w="720" w:type="dxa"/>
            <w:tcBorders>
              <w:top w:val="nil"/>
              <w:left w:val="nil"/>
              <w:bottom w:val="single" w:sz="8" w:space="0" w:color="FFFFFF"/>
              <w:right w:val="nil"/>
            </w:tcBorders>
            <w:shd w:val="clear" w:color="auto" w:fill="D9D9D9" w:themeFill="background1" w:themeFillShade="D9"/>
            <w:vAlign w:val="center"/>
            <w:hideMark/>
          </w:tcPr>
          <w:p w14:paraId="61D2EB6D" w14:textId="79B551D6"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152.500</w:t>
            </w:r>
          </w:p>
        </w:tc>
        <w:tc>
          <w:tcPr>
            <w:tcW w:w="720" w:type="dxa"/>
            <w:tcBorders>
              <w:top w:val="nil"/>
              <w:left w:val="nil"/>
              <w:bottom w:val="single" w:sz="8" w:space="0" w:color="FFFFFF"/>
              <w:right w:val="nil"/>
            </w:tcBorders>
            <w:shd w:val="clear" w:color="auto" w:fill="auto"/>
            <w:vAlign w:val="center"/>
            <w:hideMark/>
          </w:tcPr>
          <w:p w14:paraId="739EA177" w14:textId="04D2CC0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156.870</w:t>
            </w:r>
          </w:p>
        </w:tc>
        <w:tc>
          <w:tcPr>
            <w:tcW w:w="760" w:type="dxa"/>
            <w:tcBorders>
              <w:top w:val="nil"/>
              <w:left w:val="nil"/>
              <w:bottom w:val="single" w:sz="8" w:space="0" w:color="FFFFFF"/>
              <w:right w:val="nil"/>
            </w:tcBorders>
            <w:shd w:val="clear" w:color="auto" w:fill="D9D9D9" w:themeFill="background1" w:themeFillShade="D9"/>
            <w:vAlign w:val="center"/>
            <w:hideMark/>
          </w:tcPr>
          <w:p w14:paraId="27A54F83" w14:textId="044BFC9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146.150</w:t>
            </w:r>
          </w:p>
        </w:tc>
        <w:tc>
          <w:tcPr>
            <w:tcW w:w="643" w:type="dxa"/>
            <w:tcBorders>
              <w:top w:val="nil"/>
              <w:left w:val="nil"/>
              <w:bottom w:val="single" w:sz="8" w:space="0" w:color="FFFFFF"/>
              <w:right w:val="nil"/>
            </w:tcBorders>
            <w:shd w:val="clear" w:color="auto" w:fill="F2F2F2" w:themeFill="background1" w:themeFillShade="F2"/>
            <w:vAlign w:val="center"/>
          </w:tcPr>
          <w:p w14:paraId="154B2255" w14:textId="0B3D8E0D"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69.743</w:t>
            </w:r>
          </w:p>
        </w:tc>
      </w:tr>
      <w:tr w:rsidR="00746A94" w:rsidRPr="00C76837" w14:paraId="64974B2D" w14:textId="7E70DDE8" w:rsidTr="00C643A9">
        <w:trPr>
          <w:trHeight w:val="227"/>
        </w:trPr>
        <w:tc>
          <w:tcPr>
            <w:tcW w:w="3119" w:type="dxa"/>
            <w:tcBorders>
              <w:top w:val="nil"/>
              <w:left w:val="nil"/>
              <w:bottom w:val="single" w:sz="8" w:space="0" w:color="FFFFFF"/>
              <w:right w:val="nil"/>
            </w:tcBorders>
            <w:shd w:val="clear" w:color="auto" w:fill="auto"/>
            <w:vAlign w:val="bottom"/>
            <w:hideMark/>
          </w:tcPr>
          <w:p w14:paraId="6395174A" w14:textId="542EA9B4" w:rsidR="00746A94" w:rsidRPr="00C76837" w:rsidRDefault="00746A94" w:rsidP="00746A94">
            <w:pPr>
              <w:spacing w:after="40"/>
              <w:rPr>
                <w:rFonts w:ascii="Arial Narrow" w:hAnsi="Arial Narrow"/>
                <w:color w:val="1F497D"/>
                <w:sz w:val="17"/>
                <w:szCs w:val="17"/>
              </w:rPr>
            </w:pPr>
            <w:r w:rsidRPr="00C76837">
              <w:rPr>
                <w:rFonts w:ascii="Arial Narrow" w:hAnsi="Arial Narrow"/>
                <w:color w:val="1F497D"/>
                <w:sz w:val="17"/>
                <w:szCs w:val="17"/>
              </w:rPr>
              <w:t>Tasso primo-nuzialità M (16-49) per mille</w:t>
            </w:r>
          </w:p>
        </w:tc>
        <w:tc>
          <w:tcPr>
            <w:tcW w:w="720" w:type="dxa"/>
            <w:tcBorders>
              <w:top w:val="nil"/>
              <w:left w:val="nil"/>
              <w:bottom w:val="single" w:sz="8" w:space="0" w:color="FFFFFF"/>
              <w:right w:val="nil"/>
            </w:tcBorders>
            <w:shd w:val="clear" w:color="auto" w:fill="D9D9D9" w:themeFill="background1" w:themeFillShade="D9"/>
            <w:vAlign w:val="center"/>
            <w:hideMark/>
          </w:tcPr>
          <w:p w14:paraId="69AB57DC" w14:textId="7D1BBA55"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531,7</w:t>
            </w:r>
          </w:p>
        </w:tc>
        <w:tc>
          <w:tcPr>
            <w:tcW w:w="720" w:type="dxa"/>
            <w:tcBorders>
              <w:top w:val="nil"/>
              <w:left w:val="nil"/>
              <w:bottom w:val="single" w:sz="8" w:space="0" w:color="FFFFFF"/>
              <w:right w:val="nil"/>
            </w:tcBorders>
            <w:shd w:val="clear" w:color="auto" w:fill="auto"/>
            <w:vAlign w:val="center"/>
            <w:hideMark/>
          </w:tcPr>
          <w:p w14:paraId="6D5674ED" w14:textId="407A3456"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477,1</w:t>
            </w:r>
          </w:p>
        </w:tc>
        <w:tc>
          <w:tcPr>
            <w:tcW w:w="720" w:type="dxa"/>
            <w:tcBorders>
              <w:top w:val="nil"/>
              <w:left w:val="nil"/>
              <w:bottom w:val="single" w:sz="8" w:space="0" w:color="FFFFFF"/>
              <w:right w:val="nil"/>
            </w:tcBorders>
            <w:shd w:val="clear" w:color="auto" w:fill="D9D9D9" w:themeFill="background1" w:themeFillShade="D9"/>
            <w:vAlign w:val="center"/>
            <w:hideMark/>
          </w:tcPr>
          <w:p w14:paraId="28D0986B" w14:textId="69B49576"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461,1</w:t>
            </w:r>
          </w:p>
        </w:tc>
        <w:tc>
          <w:tcPr>
            <w:tcW w:w="720" w:type="dxa"/>
            <w:tcBorders>
              <w:top w:val="nil"/>
              <w:left w:val="nil"/>
              <w:bottom w:val="single" w:sz="8" w:space="0" w:color="FFFFFF"/>
              <w:right w:val="nil"/>
            </w:tcBorders>
            <w:shd w:val="clear" w:color="auto" w:fill="auto"/>
            <w:vAlign w:val="center"/>
            <w:hideMark/>
          </w:tcPr>
          <w:p w14:paraId="6573FF22" w14:textId="7EB6F72F"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428,1</w:t>
            </w:r>
          </w:p>
        </w:tc>
        <w:tc>
          <w:tcPr>
            <w:tcW w:w="720" w:type="dxa"/>
            <w:tcBorders>
              <w:top w:val="nil"/>
              <w:left w:val="nil"/>
              <w:bottom w:val="single" w:sz="8" w:space="0" w:color="FFFFFF"/>
              <w:right w:val="nil"/>
            </w:tcBorders>
            <w:shd w:val="clear" w:color="auto" w:fill="D9D9D9" w:themeFill="background1" w:themeFillShade="D9"/>
            <w:vAlign w:val="center"/>
            <w:hideMark/>
          </w:tcPr>
          <w:p w14:paraId="2E0FB962" w14:textId="42E82770"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436,8</w:t>
            </w:r>
          </w:p>
        </w:tc>
        <w:tc>
          <w:tcPr>
            <w:tcW w:w="720" w:type="dxa"/>
            <w:tcBorders>
              <w:top w:val="nil"/>
              <w:left w:val="nil"/>
              <w:bottom w:val="single" w:sz="8" w:space="0" w:color="FFFFFF"/>
              <w:right w:val="nil"/>
            </w:tcBorders>
            <w:shd w:val="clear" w:color="auto" w:fill="auto"/>
            <w:vAlign w:val="center"/>
            <w:hideMark/>
          </w:tcPr>
          <w:p w14:paraId="2C47AC02" w14:textId="61A09E9A"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456,4</w:t>
            </w:r>
          </w:p>
        </w:tc>
        <w:tc>
          <w:tcPr>
            <w:tcW w:w="720" w:type="dxa"/>
            <w:tcBorders>
              <w:top w:val="nil"/>
              <w:left w:val="nil"/>
              <w:bottom w:val="single" w:sz="8" w:space="0" w:color="FFFFFF"/>
              <w:right w:val="nil"/>
            </w:tcBorders>
            <w:shd w:val="clear" w:color="auto" w:fill="D9D9D9" w:themeFill="background1" w:themeFillShade="D9"/>
            <w:vAlign w:val="center"/>
            <w:hideMark/>
          </w:tcPr>
          <w:p w14:paraId="549EA689" w14:textId="6A9DF263"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425,0</w:t>
            </w:r>
          </w:p>
        </w:tc>
        <w:tc>
          <w:tcPr>
            <w:tcW w:w="720" w:type="dxa"/>
            <w:tcBorders>
              <w:top w:val="nil"/>
              <w:left w:val="nil"/>
              <w:bottom w:val="single" w:sz="8" w:space="0" w:color="FFFFFF"/>
              <w:right w:val="nil"/>
            </w:tcBorders>
            <w:shd w:val="clear" w:color="auto" w:fill="auto"/>
            <w:vAlign w:val="center"/>
            <w:hideMark/>
          </w:tcPr>
          <w:p w14:paraId="6567BF7E" w14:textId="733CBED6"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437,4</w:t>
            </w:r>
          </w:p>
        </w:tc>
        <w:tc>
          <w:tcPr>
            <w:tcW w:w="760" w:type="dxa"/>
            <w:tcBorders>
              <w:top w:val="nil"/>
              <w:left w:val="nil"/>
              <w:bottom w:val="single" w:sz="8" w:space="0" w:color="FFFFFF"/>
              <w:right w:val="nil"/>
            </w:tcBorders>
            <w:shd w:val="clear" w:color="auto" w:fill="D9D9D9" w:themeFill="background1" w:themeFillShade="D9"/>
            <w:vAlign w:val="center"/>
            <w:hideMark/>
          </w:tcPr>
          <w:p w14:paraId="582A29ED" w14:textId="3F4CD940"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410,4</w:t>
            </w:r>
          </w:p>
        </w:tc>
        <w:tc>
          <w:tcPr>
            <w:tcW w:w="643" w:type="dxa"/>
            <w:tcBorders>
              <w:top w:val="nil"/>
              <w:left w:val="nil"/>
              <w:bottom w:val="single" w:sz="8" w:space="0" w:color="FFFFFF"/>
              <w:right w:val="nil"/>
            </w:tcBorders>
            <w:shd w:val="clear" w:color="auto" w:fill="F2F2F2" w:themeFill="background1" w:themeFillShade="F2"/>
            <w:vAlign w:val="center"/>
          </w:tcPr>
          <w:p w14:paraId="4AFE14FA" w14:textId="557EE670" w:rsidR="00746A94" w:rsidRPr="00C76837" w:rsidRDefault="00746A94" w:rsidP="00746A94">
            <w:pPr>
              <w:spacing w:after="40"/>
              <w:jc w:val="right"/>
              <w:rPr>
                <w:rFonts w:ascii="Arial Narrow" w:hAnsi="Arial Narrow"/>
                <w:color w:val="000000"/>
                <w:sz w:val="17"/>
                <w:szCs w:val="17"/>
              </w:rPr>
            </w:pPr>
            <w:r w:rsidRPr="00C76837">
              <w:rPr>
                <w:rFonts w:ascii="Arial Narrow" w:hAnsi="Arial Narrow"/>
                <w:color w:val="000000"/>
                <w:sz w:val="17"/>
                <w:szCs w:val="17"/>
              </w:rPr>
              <w:t>195,7</w:t>
            </w:r>
          </w:p>
        </w:tc>
      </w:tr>
      <w:tr w:rsidR="00746A94" w:rsidRPr="00C76837" w14:paraId="30C4DE99" w14:textId="107792DD" w:rsidTr="00C643A9">
        <w:trPr>
          <w:trHeight w:val="227"/>
        </w:trPr>
        <w:tc>
          <w:tcPr>
            <w:tcW w:w="3119" w:type="dxa"/>
            <w:tcBorders>
              <w:top w:val="nil"/>
              <w:left w:val="nil"/>
              <w:bottom w:val="single" w:sz="8" w:space="0" w:color="FFFFFF"/>
              <w:right w:val="nil"/>
            </w:tcBorders>
            <w:shd w:val="clear" w:color="auto" w:fill="auto"/>
            <w:vAlign w:val="bottom"/>
            <w:hideMark/>
          </w:tcPr>
          <w:p w14:paraId="1B2BF4A3" w14:textId="0404E415" w:rsidR="00746A94" w:rsidRPr="00C76837" w:rsidRDefault="00746A94" w:rsidP="00746A94">
            <w:pPr>
              <w:spacing w:after="40"/>
              <w:rPr>
                <w:rFonts w:ascii="Arial Narrow" w:hAnsi="Arial Narrow"/>
                <w:color w:val="1F497D"/>
                <w:sz w:val="17"/>
                <w:szCs w:val="17"/>
              </w:rPr>
            </w:pPr>
            <w:r w:rsidRPr="00C76837">
              <w:rPr>
                <w:rFonts w:ascii="Arial Narrow" w:hAnsi="Arial Narrow"/>
                <w:color w:val="1F497D"/>
                <w:sz w:val="17"/>
                <w:szCs w:val="17"/>
              </w:rPr>
              <w:t>Tasso primo-nuzialità F (16-49) per mille</w:t>
            </w:r>
          </w:p>
        </w:tc>
        <w:tc>
          <w:tcPr>
            <w:tcW w:w="720" w:type="dxa"/>
            <w:tcBorders>
              <w:top w:val="nil"/>
              <w:left w:val="nil"/>
              <w:bottom w:val="single" w:sz="8" w:space="0" w:color="FFFFFF"/>
              <w:right w:val="nil"/>
            </w:tcBorders>
            <w:shd w:val="clear" w:color="auto" w:fill="D9D9D9" w:themeFill="background1" w:themeFillShade="D9"/>
            <w:vAlign w:val="center"/>
            <w:hideMark/>
          </w:tcPr>
          <w:p w14:paraId="0054CB4A" w14:textId="7A8A456F"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589,2</w:t>
            </w:r>
          </w:p>
        </w:tc>
        <w:tc>
          <w:tcPr>
            <w:tcW w:w="720" w:type="dxa"/>
            <w:tcBorders>
              <w:top w:val="nil"/>
              <w:left w:val="nil"/>
              <w:bottom w:val="single" w:sz="8" w:space="0" w:color="FFFFFF"/>
              <w:right w:val="nil"/>
            </w:tcBorders>
            <w:shd w:val="clear" w:color="auto" w:fill="auto"/>
            <w:vAlign w:val="center"/>
            <w:hideMark/>
          </w:tcPr>
          <w:p w14:paraId="50078097" w14:textId="22CB0446"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526,7</w:t>
            </w:r>
          </w:p>
        </w:tc>
        <w:tc>
          <w:tcPr>
            <w:tcW w:w="720" w:type="dxa"/>
            <w:tcBorders>
              <w:top w:val="nil"/>
              <w:left w:val="nil"/>
              <w:bottom w:val="single" w:sz="8" w:space="0" w:color="FFFFFF"/>
              <w:right w:val="nil"/>
            </w:tcBorders>
            <w:shd w:val="clear" w:color="auto" w:fill="D9D9D9" w:themeFill="background1" w:themeFillShade="D9"/>
            <w:vAlign w:val="center"/>
            <w:hideMark/>
          </w:tcPr>
          <w:p w14:paraId="4ADD0F3A" w14:textId="14B13776"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506,3</w:t>
            </w:r>
          </w:p>
        </w:tc>
        <w:tc>
          <w:tcPr>
            <w:tcW w:w="720" w:type="dxa"/>
            <w:tcBorders>
              <w:top w:val="nil"/>
              <w:left w:val="nil"/>
              <w:bottom w:val="single" w:sz="8" w:space="0" w:color="FFFFFF"/>
              <w:right w:val="nil"/>
            </w:tcBorders>
            <w:shd w:val="clear" w:color="auto" w:fill="auto"/>
            <w:vAlign w:val="center"/>
            <w:hideMark/>
          </w:tcPr>
          <w:p w14:paraId="1D9DFB4A" w14:textId="19098121"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468,5</w:t>
            </w:r>
          </w:p>
        </w:tc>
        <w:tc>
          <w:tcPr>
            <w:tcW w:w="720" w:type="dxa"/>
            <w:tcBorders>
              <w:top w:val="nil"/>
              <w:left w:val="nil"/>
              <w:bottom w:val="single" w:sz="8" w:space="0" w:color="FFFFFF"/>
              <w:right w:val="nil"/>
            </w:tcBorders>
            <w:shd w:val="clear" w:color="auto" w:fill="D9D9D9" w:themeFill="background1" w:themeFillShade="D9"/>
            <w:vAlign w:val="center"/>
            <w:hideMark/>
          </w:tcPr>
          <w:p w14:paraId="50BE09D8" w14:textId="7DA43F46"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480,4</w:t>
            </w:r>
          </w:p>
        </w:tc>
        <w:tc>
          <w:tcPr>
            <w:tcW w:w="720" w:type="dxa"/>
            <w:tcBorders>
              <w:top w:val="nil"/>
              <w:left w:val="nil"/>
              <w:bottom w:val="single" w:sz="8" w:space="0" w:color="FFFFFF"/>
              <w:right w:val="nil"/>
            </w:tcBorders>
            <w:shd w:val="clear" w:color="auto" w:fill="auto"/>
            <w:vAlign w:val="center"/>
            <w:hideMark/>
          </w:tcPr>
          <w:p w14:paraId="258C73A5" w14:textId="590A34B8"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502,8</w:t>
            </w:r>
          </w:p>
        </w:tc>
        <w:tc>
          <w:tcPr>
            <w:tcW w:w="720" w:type="dxa"/>
            <w:tcBorders>
              <w:top w:val="nil"/>
              <w:left w:val="nil"/>
              <w:bottom w:val="single" w:sz="8" w:space="0" w:color="FFFFFF"/>
              <w:right w:val="nil"/>
            </w:tcBorders>
            <w:shd w:val="clear" w:color="auto" w:fill="D9D9D9" w:themeFill="background1" w:themeFillShade="D9"/>
            <w:vAlign w:val="center"/>
            <w:hideMark/>
          </w:tcPr>
          <w:p w14:paraId="183D420F" w14:textId="35F77EBD"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470,3</w:t>
            </w:r>
          </w:p>
        </w:tc>
        <w:tc>
          <w:tcPr>
            <w:tcW w:w="720" w:type="dxa"/>
            <w:tcBorders>
              <w:top w:val="nil"/>
              <w:left w:val="nil"/>
              <w:bottom w:val="single" w:sz="8" w:space="0" w:color="FFFFFF"/>
              <w:right w:val="nil"/>
            </w:tcBorders>
            <w:shd w:val="clear" w:color="auto" w:fill="auto"/>
            <w:vAlign w:val="center"/>
            <w:hideMark/>
          </w:tcPr>
          <w:p w14:paraId="011BE703" w14:textId="2E53F16A"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485,5</w:t>
            </w:r>
          </w:p>
        </w:tc>
        <w:tc>
          <w:tcPr>
            <w:tcW w:w="760" w:type="dxa"/>
            <w:tcBorders>
              <w:top w:val="nil"/>
              <w:left w:val="nil"/>
              <w:bottom w:val="single" w:sz="8" w:space="0" w:color="FFFFFF"/>
              <w:right w:val="nil"/>
            </w:tcBorders>
            <w:shd w:val="clear" w:color="auto" w:fill="D9D9D9" w:themeFill="background1" w:themeFillShade="D9"/>
            <w:vAlign w:val="center"/>
            <w:hideMark/>
          </w:tcPr>
          <w:p w14:paraId="2679FBFD" w14:textId="60532C7C" w:rsidR="00746A94" w:rsidRPr="00C76837" w:rsidRDefault="00746A94" w:rsidP="00746A94">
            <w:pPr>
              <w:spacing w:after="40"/>
              <w:jc w:val="right"/>
              <w:rPr>
                <w:rFonts w:ascii="Arial Narrow" w:hAnsi="Arial Narrow"/>
                <w:sz w:val="17"/>
                <w:szCs w:val="17"/>
              </w:rPr>
            </w:pPr>
            <w:r w:rsidRPr="00C76837">
              <w:rPr>
                <w:rFonts w:ascii="Arial Narrow" w:hAnsi="Arial Narrow"/>
                <w:color w:val="000000"/>
                <w:sz w:val="17"/>
                <w:szCs w:val="17"/>
              </w:rPr>
              <w:t>454,7</w:t>
            </w:r>
          </w:p>
        </w:tc>
        <w:tc>
          <w:tcPr>
            <w:tcW w:w="643" w:type="dxa"/>
            <w:tcBorders>
              <w:top w:val="nil"/>
              <w:left w:val="nil"/>
              <w:bottom w:val="single" w:sz="8" w:space="0" w:color="FFFFFF"/>
              <w:right w:val="nil"/>
            </w:tcBorders>
            <w:shd w:val="clear" w:color="auto" w:fill="F2F2F2" w:themeFill="background1" w:themeFillShade="F2"/>
            <w:vAlign w:val="center"/>
          </w:tcPr>
          <w:p w14:paraId="5649EC2B" w14:textId="5753058E" w:rsidR="00746A94" w:rsidRPr="00C76837" w:rsidRDefault="00746A94" w:rsidP="00DA088F">
            <w:pPr>
              <w:spacing w:after="40"/>
              <w:jc w:val="right"/>
              <w:rPr>
                <w:rFonts w:ascii="Arial Narrow" w:hAnsi="Arial Narrow"/>
                <w:color w:val="000000"/>
                <w:sz w:val="17"/>
                <w:szCs w:val="17"/>
              </w:rPr>
            </w:pPr>
            <w:r w:rsidRPr="00C76837">
              <w:rPr>
                <w:rFonts w:ascii="Arial Narrow" w:hAnsi="Arial Narrow"/>
                <w:color w:val="000000"/>
                <w:sz w:val="17"/>
                <w:szCs w:val="17"/>
              </w:rPr>
              <w:t>220,</w:t>
            </w:r>
            <w:r w:rsidR="00DA088F" w:rsidRPr="00C76837">
              <w:rPr>
                <w:rFonts w:ascii="Arial Narrow" w:hAnsi="Arial Narrow"/>
                <w:color w:val="000000"/>
                <w:sz w:val="17"/>
                <w:szCs w:val="17"/>
              </w:rPr>
              <w:t>3</w:t>
            </w:r>
          </w:p>
        </w:tc>
      </w:tr>
      <w:tr w:rsidR="00FC15D1" w:rsidRPr="00C76837" w14:paraId="417E5F03" w14:textId="6CF61D30" w:rsidTr="00C643A9">
        <w:trPr>
          <w:trHeight w:val="227"/>
        </w:trPr>
        <w:tc>
          <w:tcPr>
            <w:tcW w:w="3119" w:type="dxa"/>
            <w:tcBorders>
              <w:top w:val="nil"/>
              <w:left w:val="nil"/>
              <w:bottom w:val="single" w:sz="8" w:space="0" w:color="FFFFFF"/>
              <w:right w:val="nil"/>
            </w:tcBorders>
            <w:shd w:val="clear" w:color="auto" w:fill="auto"/>
            <w:vAlign w:val="bottom"/>
            <w:hideMark/>
          </w:tcPr>
          <w:p w14:paraId="0B9C4FB7"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Età media primo matrimonio M (16-49)</w:t>
            </w:r>
          </w:p>
        </w:tc>
        <w:tc>
          <w:tcPr>
            <w:tcW w:w="720" w:type="dxa"/>
            <w:tcBorders>
              <w:top w:val="nil"/>
              <w:left w:val="nil"/>
              <w:bottom w:val="single" w:sz="8" w:space="0" w:color="FFFFFF"/>
              <w:right w:val="nil"/>
            </w:tcBorders>
            <w:shd w:val="clear" w:color="auto" w:fill="D9D9D9" w:themeFill="background1" w:themeFillShade="D9"/>
            <w:vAlign w:val="center"/>
            <w:hideMark/>
          </w:tcPr>
          <w:p w14:paraId="06AADD30" w14:textId="53675CD5"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32,1</w:t>
            </w:r>
          </w:p>
        </w:tc>
        <w:tc>
          <w:tcPr>
            <w:tcW w:w="720" w:type="dxa"/>
            <w:tcBorders>
              <w:top w:val="nil"/>
              <w:left w:val="nil"/>
              <w:bottom w:val="single" w:sz="8" w:space="0" w:color="FFFFFF"/>
              <w:right w:val="nil"/>
            </w:tcBorders>
            <w:shd w:val="clear" w:color="auto" w:fill="auto"/>
            <w:vAlign w:val="center"/>
            <w:hideMark/>
          </w:tcPr>
          <w:p w14:paraId="63F43105" w14:textId="117E626E"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32,5</w:t>
            </w:r>
          </w:p>
        </w:tc>
        <w:tc>
          <w:tcPr>
            <w:tcW w:w="720" w:type="dxa"/>
            <w:tcBorders>
              <w:top w:val="nil"/>
              <w:left w:val="nil"/>
              <w:bottom w:val="single" w:sz="8" w:space="0" w:color="FFFFFF"/>
              <w:right w:val="nil"/>
            </w:tcBorders>
            <w:shd w:val="clear" w:color="auto" w:fill="D9D9D9" w:themeFill="background1" w:themeFillShade="D9"/>
            <w:vAlign w:val="center"/>
            <w:hideMark/>
          </w:tcPr>
          <w:p w14:paraId="2A098650" w14:textId="71CDE4CA"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32,7</w:t>
            </w:r>
          </w:p>
        </w:tc>
        <w:tc>
          <w:tcPr>
            <w:tcW w:w="720" w:type="dxa"/>
            <w:tcBorders>
              <w:top w:val="nil"/>
              <w:left w:val="nil"/>
              <w:bottom w:val="single" w:sz="8" w:space="0" w:color="FFFFFF"/>
              <w:right w:val="nil"/>
            </w:tcBorders>
            <w:shd w:val="clear" w:color="auto" w:fill="auto"/>
            <w:vAlign w:val="center"/>
            <w:hideMark/>
          </w:tcPr>
          <w:p w14:paraId="4A728606" w14:textId="5B358258"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33,1</w:t>
            </w:r>
          </w:p>
        </w:tc>
        <w:tc>
          <w:tcPr>
            <w:tcW w:w="720" w:type="dxa"/>
            <w:tcBorders>
              <w:top w:val="nil"/>
              <w:left w:val="nil"/>
              <w:bottom w:val="single" w:sz="8" w:space="0" w:color="FFFFFF"/>
              <w:right w:val="nil"/>
            </w:tcBorders>
            <w:shd w:val="clear" w:color="auto" w:fill="D9D9D9" w:themeFill="background1" w:themeFillShade="D9"/>
            <w:vAlign w:val="center"/>
            <w:hideMark/>
          </w:tcPr>
          <w:p w14:paraId="268C81A7" w14:textId="70CE3883"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33,3</w:t>
            </w:r>
          </w:p>
        </w:tc>
        <w:tc>
          <w:tcPr>
            <w:tcW w:w="720" w:type="dxa"/>
            <w:tcBorders>
              <w:top w:val="nil"/>
              <w:left w:val="nil"/>
              <w:bottom w:val="single" w:sz="8" w:space="0" w:color="FFFFFF"/>
              <w:right w:val="nil"/>
            </w:tcBorders>
            <w:shd w:val="clear" w:color="auto" w:fill="auto"/>
            <w:vAlign w:val="center"/>
            <w:hideMark/>
          </w:tcPr>
          <w:p w14:paraId="7756A59A" w14:textId="66A3B8B3"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33,4</w:t>
            </w:r>
          </w:p>
        </w:tc>
        <w:tc>
          <w:tcPr>
            <w:tcW w:w="720" w:type="dxa"/>
            <w:tcBorders>
              <w:top w:val="nil"/>
              <w:left w:val="nil"/>
              <w:bottom w:val="single" w:sz="8" w:space="0" w:color="FFFFFF"/>
              <w:right w:val="nil"/>
            </w:tcBorders>
            <w:shd w:val="clear" w:color="auto" w:fill="D9D9D9" w:themeFill="background1" w:themeFillShade="D9"/>
            <w:vAlign w:val="center"/>
            <w:hideMark/>
          </w:tcPr>
          <w:p w14:paraId="521BFF27" w14:textId="1B6314BA"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33,6</w:t>
            </w:r>
          </w:p>
        </w:tc>
        <w:tc>
          <w:tcPr>
            <w:tcW w:w="720" w:type="dxa"/>
            <w:tcBorders>
              <w:top w:val="nil"/>
              <w:left w:val="nil"/>
              <w:bottom w:val="single" w:sz="8" w:space="0" w:color="FFFFFF"/>
              <w:right w:val="nil"/>
            </w:tcBorders>
            <w:shd w:val="clear" w:color="auto" w:fill="auto"/>
            <w:vAlign w:val="center"/>
            <w:hideMark/>
          </w:tcPr>
          <w:p w14:paraId="17185EE6" w14:textId="117495CD"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33,7</w:t>
            </w:r>
          </w:p>
        </w:tc>
        <w:tc>
          <w:tcPr>
            <w:tcW w:w="760" w:type="dxa"/>
            <w:tcBorders>
              <w:top w:val="nil"/>
              <w:left w:val="nil"/>
              <w:bottom w:val="single" w:sz="8" w:space="0" w:color="FFFFFF"/>
              <w:right w:val="nil"/>
            </w:tcBorders>
            <w:shd w:val="clear" w:color="auto" w:fill="D9D9D9" w:themeFill="background1" w:themeFillShade="D9"/>
            <w:vAlign w:val="center"/>
            <w:hideMark/>
          </w:tcPr>
          <w:p w14:paraId="1CFD6E54" w14:textId="5F20A3E7"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33,9</w:t>
            </w:r>
          </w:p>
        </w:tc>
        <w:tc>
          <w:tcPr>
            <w:tcW w:w="643" w:type="dxa"/>
            <w:tcBorders>
              <w:top w:val="nil"/>
              <w:left w:val="nil"/>
              <w:bottom w:val="single" w:sz="8" w:space="0" w:color="FFFFFF"/>
              <w:right w:val="nil"/>
            </w:tcBorders>
            <w:shd w:val="clear" w:color="auto" w:fill="F2F2F2" w:themeFill="background1" w:themeFillShade="F2"/>
            <w:vAlign w:val="center"/>
          </w:tcPr>
          <w:p w14:paraId="38CAA609" w14:textId="0CAA74E7"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34,1</w:t>
            </w:r>
          </w:p>
        </w:tc>
      </w:tr>
      <w:tr w:rsidR="00FC15D1" w:rsidRPr="00C76837" w14:paraId="2A39E8B1" w14:textId="51507AD0" w:rsidTr="00C643A9">
        <w:trPr>
          <w:trHeight w:val="227"/>
        </w:trPr>
        <w:tc>
          <w:tcPr>
            <w:tcW w:w="3119" w:type="dxa"/>
            <w:tcBorders>
              <w:top w:val="nil"/>
              <w:left w:val="nil"/>
              <w:bottom w:val="single" w:sz="8" w:space="0" w:color="FFFFFF"/>
              <w:right w:val="nil"/>
            </w:tcBorders>
            <w:shd w:val="clear" w:color="auto" w:fill="auto"/>
            <w:vAlign w:val="bottom"/>
            <w:hideMark/>
          </w:tcPr>
          <w:p w14:paraId="280FCF68"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Età media primo matrimonio F (16-49)</w:t>
            </w:r>
          </w:p>
        </w:tc>
        <w:tc>
          <w:tcPr>
            <w:tcW w:w="720" w:type="dxa"/>
            <w:tcBorders>
              <w:top w:val="nil"/>
              <w:left w:val="nil"/>
              <w:bottom w:val="single" w:sz="8" w:space="0" w:color="FFFFFF"/>
              <w:right w:val="nil"/>
            </w:tcBorders>
            <w:shd w:val="clear" w:color="auto" w:fill="D9D9D9" w:themeFill="background1" w:themeFillShade="D9"/>
            <w:vAlign w:val="center"/>
            <w:hideMark/>
          </w:tcPr>
          <w:p w14:paraId="0194900B" w14:textId="16D28C49"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29,4</w:t>
            </w:r>
          </w:p>
        </w:tc>
        <w:tc>
          <w:tcPr>
            <w:tcW w:w="720" w:type="dxa"/>
            <w:tcBorders>
              <w:top w:val="nil"/>
              <w:left w:val="nil"/>
              <w:bottom w:val="single" w:sz="8" w:space="0" w:color="FFFFFF"/>
              <w:right w:val="nil"/>
            </w:tcBorders>
            <w:shd w:val="clear" w:color="auto" w:fill="auto"/>
            <w:vAlign w:val="center"/>
            <w:hideMark/>
          </w:tcPr>
          <w:p w14:paraId="3B669F82" w14:textId="4595EC16"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29,9</w:t>
            </w:r>
          </w:p>
        </w:tc>
        <w:tc>
          <w:tcPr>
            <w:tcW w:w="720" w:type="dxa"/>
            <w:tcBorders>
              <w:top w:val="nil"/>
              <w:left w:val="nil"/>
              <w:bottom w:val="single" w:sz="8" w:space="0" w:color="FFFFFF"/>
              <w:right w:val="nil"/>
            </w:tcBorders>
            <w:shd w:val="clear" w:color="auto" w:fill="D9D9D9" w:themeFill="background1" w:themeFillShade="D9"/>
            <w:vAlign w:val="center"/>
            <w:hideMark/>
          </w:tcPr>
          <w:p w14:paraId="6B0209D4" w14:textId="395E125D"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30,2</w:t>
            </w:r>
          </w:p>
        </w:tc>
        <w:tc>
          <w:tcPr>
            <w:tcW w:w="720" w:type="dxa"/>
            <w:tcBorders>
              <w:top w:val="nil"/>
              <w:left w:val="nil"/>
              <w:bottom w:val="single" w:sz="8" w:space="0" w:color="FFFFFF"/>
              <w:right w:val="nil"/>
            </w:tcBorders>
            <w:shd w:val="clear" w:color="auto" w:fill="auto"/>
            <w:vAlign w:val="center"/>
            <w:hideMark/>
          </w:tcPr>
          <w:p w14:paraId="483FF9E2" w14:textId="5AEA26A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30,7</w:t>
            </w:r>
          </w:p>
        </w:tc>
        <w:tc>
          <w:tcPr>
            <w:tcW w:w="720" w:type="dxa"/>
            <w:tcBorders>
              <w:top w:val="nil"/>
              <w:left w:val="nil"/>
              <w:bottom w:val="single" w:sz="8" w:space="0" w:color="FFFFFF"/>
              <w:right w:val="nil"/>
            </w:tcBorders>
            <w:shd w:val="clear" w:color="auto" w:fill="D9D9D9" w:themeFill="background1" w:themeFillShade="D9"/>
            <w:vAlign w:val="center"/>
            <w:hideMark/>
          </w:tcPr>
          <w:p w14:paraId="59623448" w14:textId="1F2850CA"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30,9</w:t>
            </w:r>
          </w:p>
        </w:tc>
        <w:tc>
          <w:tcPr>
            <w:tcW w:w="720" w:type="dxa"/>
            <w:tcBorders>
              <w:top w:val="nil"/>
              <w:left w:val="nil"/>
              <w:bottom w:val="single" w:sz="8" w:space="0" w:color="FFFFFF"/>
              <w:right w:val="nil"/>
            </w:tcBorders>
            <w:shd w:val="clear" w:color="auto" w:fill="auto"/>
            <w:vAlign w:val="center"/>
            <w:hideMark/>
          </w:tcPr>
          <w:p w14:paraId="277C9E8D" w14:textId="44567156"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31,1</w:t>
            </w:r>
          </w:p>
        </w:tc>
        <w:tc>
          <w:tcPr>
            <w:tcW w:w="720" w:type="dxa"/>
            <w:tcBorders>
              <w:top w:val="nil"/>
              <w:left w:val="nil"/>
              <w:bottom w:val="single" w:sz="8" w:space="0" w:color="FFFFFF"/>
              <w:right w:val="nil"/>
            </w:tcBorders>
            <w:shd w:val="clear" w:color="auto" w:fill="D9D9D9" w:themeFill="background1" w:themeFillShade="D9"/>
            <w:vAlign w:val="center"/>
            <w:hideMark/>
          </w:tcPr>
          <w:p w14:paraId="72DB4C61" w14:textId="0C75E84E"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31,3</w:t>
            </w:r>
          </w:p>
        </w:tc>
        <w:tc>
          <w:tcPr>
            <w:tcW w:w="720" w:type="dxa"/>
            <w:tcBorders>
              <w:top w:val="nil"/>
              <w:left w:val="nil"/>
              <w:bottom w:val="single" w:sz="8" w:space="0" w:color="FFFFFF"/>
              <w:right w:val="nil"/>
            </w:tcBorders>
            <w:shd w:val="clear" w:color="auto" w:fill="auto"/>
            <w:vAlign w:val="center"/>
            <w:hideMark/>
          </w:tcPr>
          <w:p w14:paraId="620E182D" w14:textId="012A3E7E"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31,5</w:t>
            </w:r>
          </w:p>
        </w:tc>
        <w:tc>
          <w:tcPr>
            <w:tcW w:w="760" w:type="dxa"/>
            <w:tcBorders>
              <w:top w:val="nil"/>
              <w:left w:val="nil"/>
              <w:bottom w:val="single" w:sz="8" w:space="0" w:color="FFFFFF"/>
              <w:right w:val="nil"/>
            </w:tcBorders>
            <w:shd w:val="clear" w:color="auto" w:fill="D9D9D9" w:themeFill="background1" w:themeFillShade="D9"/>
            <w:vAlign w:val="center"/>
            <w:hideMark/>
          </w:tcPr>
          <w:p w14:paraId="51C268C3" w14:textId="033C254E"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31,7</w:t>
            </w:r>
          </w:p>
        </w:tc>
        <w:tc>
          <w:tcPr>
            <w:tcW w:w="643" w:type="dxa"/>
            <w:tcBorders>
              <w:top w:val="nil"/>
              <w:left w:val="nil"/>
              <w:bottom w:val="single" w:sz="8" w:space="0" w:color="FFFFFF"/>
              <w:right w:val="nil"/>
            </w:tcBorders>
            <w:shd w:val="clear" w:color="auto" w:fill="F2F2F2" w:themeFill="background1" w:themeFillShade="F2"/>
            <w:vAlign w:val="center"/>
          </w:tcPr>
          <w:p w14:paraId="17846BB6" w14:textId="595AD7E0"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32,0</w:t>
            </w:r>
          </w:p>
        </w:tc>
      </w:tr>
      <w:tr w:rsidR="00FC15D1" w:rsidRPr="00C76837" w14:paraId="0188EF1C" w14:textId="4E24D90B" w:rsidTr="00C643A9">
        <w:trPr>
          <w:trHeight w:val="227"/>
        </w:trPr>
        <w:tc>
          <w:tcPr>
            <w:tcW w:w="3119" w:type="dxa"/>
            <w:tcBorders>
              <w:top w:val="nil"/>
              <w:left w:val="nil"/>
              <w:bottom w:val="single" w:sz="8" w:space="0" w:color="FFFFFF"/>
              <w:right w:val="nil"/>
            </w:tcBorders>
            <w:shd w:val="clear" w:color="auto" w:fill="auto"/>
            <w:vAlign w:val="bottom"/>
            <w:hideMark/>
          </w:tcPr>
          <w:p w14:paraId="0AA09EB4" w14:textId="5EDE4B82"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 matrimoni civili</w:t>
            </w:r>
          </w:p>
        </w:tc>
        <w:tc>
          <w:tcPr>
            <w:tcW w:w="720" w:type="dxa"/>
            <w:tcBorders>
              <w:top w:val="nil"/>
              <w:left w:val="nil"/>
              <w:bottom w:val="single" w:sz="8" w:space="0" w:color="FFFFFF"/>
              <w:right w:val="nil"/>
            </w:tcBorders>
            <w:shd w:val="clear" w:color="auto" w:fill="D9D9D9" w:themeFill="background1" w:themeFillShade="D9"/>
            <w:vAlign w:val="center"/>
            <w:hideMark/>
          </w:tcPr>
          <w:p w14:paraId="4EF50F0B" w14:textId="225BD35C"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36,7</w:t>
            </w:r>
          </w:p>
        </w:tc>
        <w:tc>
          <w:tcPr>
            <w:tcW w:w="720" w:type="dxa"/>
            <w:tcBorders>
              <w:top w:val="nil"/>
              <w:left w:val="nil"/>
              <w:bottom w:val="single" w:sz="8" w:space="0" w:color="FFFFFF"/>
              <w:right w:val="nil"/>
            </w:tcBorders>
            <w:shd w:val="clear" w:color="auto" w:fill="auto"/>
            <w:vAlign w:val="center"/>
            <w:hideMark/>
          </w:tcPr>
          <w:p w14:paraId="2A4F06EB" w14:textId="17437BA1"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36,5</w:t>
            </w:r>
          </w:p>
        </w:tc>
        <w:tc>
          <w:tcPr>
            <w:tcW w:w="720" w:type="dxa"/>
            <w:tcBorders>
              <w:top w:val="nil"/>
              <w:left w:val="nil"/>
              <w:bottom w:val="single" w:sz="8" w:space="0" w:color="FFFFFF"/>
              <w:right w:val="nil"/>
            </w:tcBorders>
            <w:shd w:val="clear" w:color="auto" w:fill="D9D9D9" w:themeFill="background1" w:themeFillShade="D9"/>
            <w:vAlign w:val="center"/>
            <w:hideMark/>
          </w:tcPr>
          <w:p w14:paraId="34C92AC1" w14:textId="4D10487A"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41</w:t>
            </w:r>
          </w:p>
        </w:tc>
        <w:tc>
          <w:tcPr>
            <w:tcW w:w="720" w:type="dxa"/>
            <w:tcBorders>
              <w:top w:val="nil"/>
              <w:left w:val="nil"/>
              <w:bottom w:val="single" w:sz="8" w:space="0" w:color="FFFFFF"/>
              <w:right w:val="nil"/>
            </w:tcBorders>
            <w:shd w:val="clear" w:color="auto" w:fill="auto"/>
            <w:vAlign w:val="center"/>
            <w:hideMark/>
          </w:tcPr>
          <w:p w14:paraId="247A0F99" w14:textId="51620F75"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43,1</w:t>
            </w:r>
          </w:p>
        </w:tc>
        <w:tc>
          <w:tcPr>
            <w:tcW w:w="720" w:type="dxa"/>
            <w:tcBorders>
              <w:top w:val="nil"/>
              <w:left w:val="nil"/>
              <w:bottom w:val="single" w:sz="8" w:space="0" w:color="FFFFFF"/>
              <w:right w:val="nil"/>
            </w:tcBorders>
            <w:shd w:val="clear" w:color="auto" w:fill="D9D9D9" w:themeFill="background1" w:themeFillShade="D9"/>
            <w:vAlign w:val="center"/>
            <w:hideMark/>
          </w:tcPr>
          <w:p w14:paraId="79B5201E" w14:textId="73C34282"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45,3</w:t>
            </w:r>
          </w:p>
        </w:tc>
        <w:tc>
          <w:tcPr>
            <w:tcW w:w="720" w:type="dxa"/>
            <w:tcBorders>
              <w:top w:val="nil"/>
              <w:left w:val="nil"/>
              <w:bottom w:val="single" w:sz="8" w:space="0" w:color="FFFFFF"/>
              <w:right w:val="nil"/>
            </w:tcBorders>
            <w:shd w:val="clear" w:color="auto" w:fill="auto"/>
            <w:vAlign w:val="center"/>
            <w:hideMark/>
          </w:tcPr>
          <w:p w14:paraId="349E204D" w14:textId="118576AD"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46,9</w:t>
            </w:r>
          </w:p>
        </w:tc>
        <w:tc>
          <w:tcPr>
            <w:tcW w:w="720" w:type="dxa"/>
            <w:tcBorders>
              <w:top w:val="nil"/>
              <w:left w:val="nil"/>
              <w:bottom w:val="single" w:sz="8" w:space="0" w:color="FFFFFF"/>
              <w:right w:val="nil"/>
            </w:tcBorders>
            <w:shd w:val="clear" w:color="auto" w:fill="D9D9D9" w:themeFill="background1" w:themeFillShade="D9"/>
            <w:vAlign w:val="center"/>
            <w:hideMark/>
          </w:tcPr>
          <w:p w14:paraId="3149F820" w14:textId="073C2E2A"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49,5</w:t>
            </w:r>
          </w:p>
        </w:tc>
        <w:tc>
          <w:tcPr>
            <w:tcW w:w="720" w:type="dxa"/>
            <w:tcBorders>
              <w:top w:val="nil"/>
              <w:left w:val="nil"/>
              <w:bottom w:val="single" w:sz="8" w:space="0" w:color="FFFFFF"/>
              <w:right w:val="nil"/>
            </w:tcBorders>
            <w:shd w:val="clear" w:color="auto" w:fill="auto"/>
            <w:vAlign w:val="center"/>
            <w:hideMark/>
          </w:tcPr>
          <w:p w14:paraId="7DC0A868" w14:textId="326C3149"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50,1</w:t>
            </w:r>
          </w:p>
        </w:tc>
        <w:tc>
          <w:tcPr>
            <w:tcW w:w="760" w:type="dxa"/>
            <w:tcBorders>
              <w:top w:val="nil"/>
              <w:left w:val="nil"/>
              <w:bottom w:val="single" w:sz="8" w:space="0" w:color="FFFFFF"/>
              <w:right w:val="nil"/>
            </w:tcBorders>
            <w:shd w:val="clear" w:color="auto" w:fill="D9D9D9" w:themeFill="background1" w:themeFillShade="D9"/>
            <w:vAlign w:val="center"/>
            <w:hideMark/>
          </w:tcPr>
          <w:p w14:paraId="6309943E" w14:textId="019B0D6F"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52,6</w:t>
            </w:r>
          </w:p>
        </w:tc>
        <w:tc>
          <w:tcPr>
            <w:tcW w:w="643" w:type="dxa"/>
            <w:tcBorders>
              <w:top w:val="nil"/>
              <w:left w:val="nil"/>
              <w:bottom w:val="single" w:sz="8" w:space="0" w:color="FFFFFF"/>
              <w:right w:val="nil"/>
            </w:tcBorders>
            <w:shd w:val="clear" w:color="auto" w:fill="F2F2F2" w:themeFill="background1" w:themeFillShade="F2"/>
            <w:vAlign w:val="center"/>
          </w:tcPr>
          <w:p w14:paraId="76A7501D" w14:textId="03BBF3CF"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71,1</w:t>
            </w:r>
          </w:p>
        </w:tc>
      </w:tr>
      <w:tr w:rsidR="00FC15D1" w:rsidRPr="00C76837" w14:paraId="57CBB902" w14:textId="0BB94F91" w:rsidTr="00C643A9">
        <w:trPr>
          <w:trHeight w:val="227"/>
        </w:trPr>
        <w:tc>
          <w:tcPr>
            <w:tcW w:w="3119" w:type="dxa"/>
            <w:tcBorders>
              <w:top w:val="nil"/>
              <w:left w:val="nil"/>
              <w:bottom w:val="single" w:sz="8" w:space="0" w:color="FFFFFF"/>
              <w:right w:val="nil"/>
            </w:tcBorders>
            <w:shd w:val="clear" w:color="auto" w:fill="auto"/>
            <w:vAlign w:val="bottom"/>
            <w:hideMark/>
          </w:tcPr>
          <w:p w14:paraId="7D49BDD0" w14:textId="243AB3C9"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 primi matrimoni civili di entrambi italiani</w:t>
            </w:r>
          </w:p>
        </w:tc>
        <w:tc>
          <w:tcPr>
            <w:tcW w:w="720" w:type="dxa"/>
            <w:tcBorders>
              <w:top w:val="nil"/>
              <w:left w:val="nil"/>
              <w:bottom w:val="single" w:sz="8" w:space="0" w:color="FFFFFF"/>
              <w:right w:val="nil"/>
            </w:tcBorders>
            <w:shd w:val="clear" w:color="auto" w:fill="D9D9D9" w:themeFill="background1" w:themeFillShade="D9"/>
            <w:vAlign w:val="center"/>
            <w:hideMark/>
          </w:tcPr>
          <w:p w14:paraId="1103E10F" w14:textId="052FB7ED"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20,0</w:t>
            </w:r>
          </w:p>
        </w:tc>
        <w:tc>
          <w:tcPr>
            <w:tcW w:w="720" w:type="dxa"/>
            <w:tcBorders>
              <w:top w:val="nil"/>
              <w:left w:val="nil"/>
              <w:bottom w:val="single" w:sz="8" w:space="0" w:color="FFFFFF"/>
              <w:right w:val="nil"/>
            </w:tcBorders>
            <w:shd w:val="clear" w:color="auto" w:fill="auto"/>
            <w:vAlign w:val="center"/>
            <w:hideMark/>
          </w:tcPr>
          <w:p w14:paraId="5CDDAB47" w14:textId="79A4A019"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22,1</w:t>
            </w:r>
          </w:p>
        </w:tc>
        <w:tc>
          <w:tcPr>
            <w:tcW w:w="720" w:type="dxa"/>
            <w:tcBorders>
              <w:top w:val="nil"/>
              <w:left w:val="nil"/>
              <w:bottom w:val="single" w:sz="8" w:space="0" w:color="FFFFFF"/>
              <w:right w:val="nil"/>
            </w:tcBorders>
            <w:shd w:val="clear" w:color="auto" w:fill="D9D9D9" w:themeFill="background1" w:themeFillShade="D9"/>
            <w:vAlign w:val="center"/>
            <w:hideMark/>
          </w:tcPr>
          <w:p w14:paraId="3F00B0CA" w14:textId="5622C522"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24,5</w:t>
            </w:r>
          </w:p>
        </w:tc>
        <w:tc>
          <w:tcPr>
            <w:tcW w:w="720" w:type="dxa"/>
            <w:tcBorders>
              <w:top w:val="nil"/>
              <w:left w:val="nil"/>
              <w:bottom w:val="single" w:sz="8" w:space="0" w:color="FFFFFF"/>
              <w:right w:val="nil"/>
            </w:tcBorders>
            <w:shd w:val="clear" w:color="auto" w:fill="auto"/>
            <w:vAlign w:val="center"/>
            <w:hideMark/>
          </w:tcPr>
          <w:p w14:paraId="188B01BD" w14:textId="65423DF1"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27,0</w:t>
            </w:r>
          </w:p>
        </w:tc>
        <w:tc>
          <w:tcPr>
            <w:tcW w:w="720" w:type="dxa"/>
            <w:tcBorders>
              <w:top w:val="nil"/>
              <w:left w:val="nil"/>
              <w:bottom w:val="single" w:sz="8" w:space="0" w:color="FFFFFF"/>
              <w:right w:val="nil"/>
            </w:tcBorders>
            <w:shd w:val="clear" w:color="auto" w:fill="D9D9D9" w:themeFill="background1" w:themeFillShade="D9"/>
            <w:vAlign w:val="center"/>
            <w:hideMark/>
          </w:tcPr>
          <w:p w14:paraId="27CE66A9" w14:textId="2D5DB9B3"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28,7</w:t>
            </w:r>
          </w:p>
        </w:tc>
        <w:tc>
          <w:tcPr>
            <w:tcW w:w="720" w:type="dxa"/>
            <w:tcBorders>
              <w:top w:val="nil"/>
              <w:left w:val="nil"/>
              <w:bottom w:val="single" w:sz="8" w:space="0" w:color="FFFFFF"/>
              <w:right w:val="nil"/>
            </w:tcBorders>
            <w:shd w:val="clear" w:color="auto" w:fill="auto"/>
            <w:vAlign w:val="center"/>
            <w:hideMark/>
          </w:tcPr>
          <w:p w14:paraId="3445214F" w14:textId="2E402D6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29,9</w:t>
            </w:r>
          </w:p>
        </w:tc>
        <w:tc>
          <w:tcPr>
            <w:tcW w:w="720" w:type="dxa"/>
            <w:tcBorders>
              <w:top w:val="nil"/>
              <w:left w:val="nil"/>
              <w:bottom w:val="single" w:sz="8" w:space="0" w:color="FFFFFF"/>
              <w:right w:val="nil"/>
            </w:tcBorders>
            <w:shd w:val="clear" w:color="auto" w:fill="D9D9D9" w:themeFill="background1" w:themeFillShade="D9"/>
            <w:vAlign w:val="center"/>
            <w:hideMark/>
          </w:tcPr>
          <w:p w14:paraId="5B1BAB37" w14:textId="561849C3"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30,9</w:t>
            </w:r>
          </w:p>
        </w:tc>
        <w:tc>
          <w:tcPr>
            <w:tcW w:w="720" w:type="dxa"/>
            <w:tcBorders>
              <w:top w:val="nil"/>
              <w:left w:val="nil"/>
              <w:bottom w:val="single" w:sz="8" w:space="0" w:color="FFFFFF"/>
              <w:right w:val="nil"/>
            </w:tcBorders>
            <w:shd w:val="clear" w:color="auto" w:fill="auto"/>
            <w:vAlign w:val="center"/>
            <w:hideMark/>
          </w:tcPr>
          <w:p w14:paraId="4F843CD0" w14:textId="3A560EBD"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31,3</w:t>
            </w:r>
          </w:p>
        </w:tc>
        <w:tc>
          <w:tcPr>
            <w:tcW w:w="760" w:type="dxa"/>
            <w:tcBorders>
              <w:top w:val="nil"/>
              <w:left w:val="nil"/>
              <w:bottom w:val="single" w:sz="8" w:space="0" w:color="FFFFFF"/>
              <w:right w:val="nil"/>
            </w:tcBorders>
            <w:shd w:val="clear" w:color="auto" w:fill="D9D9D9" w:themeFill="background1" w:themeFillShade="D9"/>
            <w:vAlign w:val="center"/>
            <w:hideMark/>
          </w:tcPr>
          <w:p w14:paraId="1F1DDD9E" w14:textId="5E80EECA"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33,4</w:t>
            </w:r>
          </w:p>
        </w:tc>
        <w:tc>
          <w:tcPr>
            <w:tcW w:w="643" w:type="dxa"/>
            <w:tcBorders>
              <w:top w:val="nil"/>
              <w:left w:val="nil"/>
              <w:bottom w:val="single" w:sz="8" w:space="0" w:color="FFFFFF"/>
              <w:right w:val="nil"/>
            </w:tcBorders>
            <w:shd w:val="clear" w:color="auto" w:fill="F2F2F2" w:themeFill="background1" w:themeFillShade="F2"/>
            <w:vAlign w:val="center"/>
          </w:tcPr>
          <w:p w14:paraId="5F2E17DC" w14:textId="7800629C"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54,6</w:t>
            </w:r>
          </w:p>
        </w:tc>
      </w:tr>
      <w:tr w:rsidR="00FC15D1" w:rsidRPr="00C76837" w14:paraId="25C314B5" w14:textId="065636E1" w:rsidTr="00C643A9">
        <w:trPr>
          <w:trHeight w:val="227"/>
        </w:trPr>
        <w:tc>
          <w:tcPr>
            <w:tcW w:w="3119" w:type="dxa"/>
            <w:tcBorders>
              <w:top w:val="nil"/>
              <w:left w:val="nil"/>
              <w:bottom w:val="single" w:sz="8" w:space="0" w:color="FFFFFF"/>
              <w:right w:val="nil"/>
            </w:tcBorders>
            <w:shd w:val="clear" w:color="auto" w:fill="auto"/>
            <w:vAlign w:val="bottom"/>
            <w:hideMark/>
          </w:tcPr>
          <w:p w14:paraId="3D856DEC" w14:textId="510F24F3"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Matrimoni di stranieri con almeno un residente</w:t>
            </w:r>
          </w:p>
        </w:tc>
        <w:tc>
          <w:tcPr>
            <w:tcW w:w="720" w:type="dxa"/>
            <w:tcBorders>
              <w:top w:val="nil"/>
              <w:left w:val="nil"/>
              <w:bottom w:val="single" w:sz="8" w:space="0" w:color="FFFFFF"/>
              <w:right w:val="nil"/>
            </w:tcBorders>
            <w:shd w:val="clear" w:color="auto" w:fill="D9D9D9" w:themeFill="background1" w:themeFillShade="D9"/>
            <w:vAlign w:val="center"/>
            <w:hideMark/>
          </w:tcPr>
          <w:p w14:paraId="42D6DBAA" w14:textId="2D1621AC"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6.535</w:t>
            </w:r>
          </w:p>
        </w:tc>
        <w:tc>
          <w:tcPr>
            <w:tcW w:w="720" w:type="dxa"/>
            <w:tcBorders>
              <w:top w:val="nil"/>
              <w:left w:val="nil"/>
              <w:bottom w:val="single" w:sz="8" w:space="0" w:color="FFFFFF"/>
              <w:right w:val="nil"/>
            </w:tcBorders>
            <w:shd w:val="clear" w:color="auto" w:fill="auto"/>
            <w:vAlign w:val="center"/>
            <w:hideMark/>
          </w:tcPr>
          <w:p w14:paraId="47B5D5EF" w14:textId="0C039457"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3.492</w:t>
            </w:r>
          </w:p>
        </w:tc>
        <w:tc>
          <w:tcPr>
            <w:tcW w:w="720" w:type="dxa"/>
            <w:tcBorders>
              <w:top w:val="nil"/>
              <w:left w:val="nil"/>
              <w:bottom w:val="single" w:sz="8" w:space="0" w:color="FFFFFF"/>
              <w:right w:val="nil"/>
            </w:tcBorders>
            <w:shd w:val="clear" w:color="auto" w:fill="D9D9D9" w:themeFill="background1" w:themeFillShade="D9"/>
            <w:vAlign w:val="center"/>
            <w:hideMark/>
          </w:tcPr>
          <w:p w14:paraId="25DD0F1D" w14:textId="473F9522"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5.610</w:t>
            </w:r>
          </w:p>
        </w:tc>
        <w:tc>
          <w:tcPr>
            <w:tcW w:w="720" w:type="dxa"/>
            <w:tcBorders>
              <w:top w:val="nil"/>
              <w:left w:val="nil"/>
              <w:bottom w:val="single" w:sz="8" w:space="0" w:color="FFFFFF"/>
              <w:right w:val="nil"/>
            </w:tcBorders>
            <w:shd w:val="clear" w:color="auto" w:fill="auto"/>
            <w:vAlign w:val="center"/>
            <w:hideMark/>
          </w:tcPr>
          <w:p w14:paraId="2C99847B" w14:textId="2804B84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4.195</w:t>
            </w:r>
          </w:p>
        </w:tc>
        <w:tc>
          <w:tcPr>
            <w:tcW w:w="720" w:type="dxa"/>
            <w:tcBorders>
              <w:top w:val="nil"/>
              <w:left w:val="nil"/>
              <w:bottom w:val="single" w:sz="8" w:space="0" w:color="FFFFFF"/>
              <w:right w:val="nil"/>
            </w:tcBorders>
            <w:shd w:val="clear" w:color="auto" w:fill="D9D9D9" w:themeFill="background1" w:themeFillShade="D9"/>
            <w:vAlign w:val="center"/>
            <w:hideMark/>
          </w:tcPr>
          <w:p w14:paraId="187C3E53" w14:textId="0A0228C8"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4.165</w:t>
            </w:r>
          </w:p>
        </w:tc>
        <w:tc>
          <w:tcPr>
            <w:tcW w:w="720" w:type="dxa"/>
            <w:tcBorders>
              <w:top w:val="nil"/>
              <w:left w:val="nil"/>
              <w:bottom w:val="single" w:sz="8" w:space="0" w:color="FFFFFF"/>
              <w:right w:val="nil"/>
            </w:tcBorders>
            <w:shd w:val="clear" w:color="auto" w:fill="auto"/>
            <w:vAlign w:val="center"/>
            <w:hideMark/>
          </w:tcPr>
          <w:p w14:paraId="716FAF3F" w14:textId="18B5E0A6"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4.074</w:t>
            </w:r>
          </w:p>
        </w:tc>
        <w:tc>
          <w:tcPr>
            <w:tcW w:w="720" w:type="dxa"/>
            <w:tcBorders>
              <w:top w:val="nil"/>
              <w:left w:val="nil"/>
              <w:bottom w:val="single" w:sz="8" w:space="0" w:color="FFFFFF"/>
              <w:right w:val="nil"/>
            </w:tcBorders>
            <w:shd w:val="clear" w:color="auto" w:fill="D9D9D9" w:themeFill="background1" w:themeFillShade="D9"/>
            <w:vAlign w:val="center"/>
            <w:hideMark/>
          </w:tcPr>
          <w:p w14:paraId="64A2ED75" w14:textId="5B70B311"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4.890</w:t>
            </w:r>
          </w:p>
        </w:tc>
        <w:tc>
          <w:tcPr>
            <w:tcW w:w="720" w:type="dxa"/>
            <w:tcBorders>
              <w:top w:val="nil"/>
              <w:left w:val="nil"/>
              <w:bottom w:val="single" w:sz="8" w:space="0" w:color="FFFFFF"/>
              <w:right w:val="nil"/>
            </w:tcBorders>
            <w:shd w:val="clear" w:color="auto" w:fill="auto"/>
            <w:vAlign w:val="center"/>
            <w:hideMark/>
          </w:tcPr>
          <w:p w14:paraId="597C9F28" w14:textId="44928DF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5.451</w:t>
            </w:r>
          </w:p>
        </w:tc>
        <w:tc>
          <w:tcPr>
            <w:tcW w:w="760" w:type="dxa"/>
            <w:tcBorders>
              <w:top w:val="nil"/>
              <w:left w:val="nil"/>
              <w:bottom w:val="single" w:sz="8" w:space="0" w:color="FFFFFF"/>
              <w:right w:val="nil"/>
            </w:tcBorders>
            <w:shd w:val="clear" w:color="auto" w:fill="D9D9D9" w:themeFill="background1" w:themeFillShade="D9"/>
            <w:vAlign w:val="center"/>
            <w:hideMark/>
          </w:tcPr>
          <w:p w14:paraId="1CF2B2D3" w14:textId="0ED8AD45"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5.924</w:t>
            </w:r>
          </w:p>
        </w:tc>
        <w:tc>
          <w:tcPr>
            <w:tcW w:w="643" w:type="dxa"/>
            <w:tcBorders>
              <w:top w:val="nil"/>
              <w:left w:val="nil"/>
              <w:bottom w:val="single" w:sz="8" w:space="0" w:color="FFFFFF"/>
              <w:right w:val="nil"/>
            </w:tcBorders>
            <w:shd w:val="clear" w:color="auto" w:fill="F2F2F2" w:themeFill="background1" w:themeFillShade="F2"/>
            <w:vAlign w:val="center"/>
          </w:tcPr>
          <w:p w14:paraId="3484150E" w14:textId="785B4270"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3.591</w:t>
            </w:r>
          </w:p>
        </w:tc>
      </w:tr>
      <w:tr w:rsidR="00FC15D1" w:rsidRPr="00C76837" w14:paraId="29869757" w14:textId="4A288038" w:rsidTr="00C643A9">
        <w:trPr>
          <w:trHeight w:val="227"/>
        </w:trPr>
        <w:tc>
          <w:tcPr>
            <w:tcW w:w="3119" w:type="dxa"/>
            <w:tcBorders>
              <w:top w:val="nil"/>
              <w:left w:val="nil"/>
              <w:bottom w:val="single" w:sz="8" w:space="0" w:color="FFFFFF"/>
              <w:right w:val="nil"/>
            </w:tcBorders>
            <w:shd w:val="clear" w:color="auto" w:fill="auto"/>
            <w:vAlign w:val="bottom"/>
            <w:hideMark/>
          </w:tcPr>
          <w:p w14:paraId="47FE253E"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Unioni civili</w:t>
            </w:r>
          </w:p>
        </w:tc>
        <w:tc>
          <w:tcPr>
            <w:tcW w:w="720" w:type="dxa"/>
            <w:tcBorders>
              <w:top w:val="nil"/>
              <w:left w:val="nil"/>
              <w:bottom w:val="single" w:sz="8" w:space="0" w:color="FFFFFF"/>
              <w:right w:val="nil"/>
            </w:tcBorders>
            <w:shd w:val="clear" w:color="auto" w:fill="D9D9D9" w:themeFill="background1" w:themeFillShade="D9"/>
            <w:vAlign w:val="center"/>
            <w:hideMark/>
          </w:tcPr>
          <w:p w14:paraId="7BE78BEB" w14:textId="409DE1E6"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 </w:t>
            </w:r>
          </w:p>
        </w:tc>
        <w:tc>
          <w:tcPr>
            <w:tcW w:w="720" w:type="dxa"/>
            <w:tcBorders>
              <w:top w:val="nil"/>
              <w:left w:val="nil"/>
              <w:bottom w:val="single" w:sz="8" w:space="0" w:color="FFFFFF"/>
              <w:right w:val="nil"/>
            </w:tcBorders>
            <w:shd w:val="clear" w:color="auto" w:fill="auto"/>
            <w:vAlign w:val="center"/>
            <w:hideMark/>
          </w:tcPr>
          <w:p w14:paraId="7CEFB2C0" w14:textId="29EC7B4E" w:rsidR="00FC15D1" w:rsidRPr="00C76837" w:rsidRDefault="00FC15D1" w:rsidP="00FC15D1">
            <w:pPr>
              <w:spacing w:after="40"/>
              <w:rPr>
                <w:rFonts w:ascii="Arial Narrow" w:hAnsi="Arial Narrow"/>
                <w:color w:val="000000"/>
                <w:sz w:val="17"/>
                <w:szCs w:val="17"/>
              </w:rPr>
            </w:pPr>
            <w:r w:rsidRPr="00C76837">
              <w:rPr>
                <w:rFonts w:ascii="Arial Narrow" w:hAnsi="Arial Narrow"/>
                <w:color w:val="000000"/>
                <w:sz w:val="17"/>
                <w:szCs w:val="17"/>
              </w:rPr>
              <w:t> </w:t>
            </w:r>
          </w:p>
        </w:tc>
        <w:tc>
          <w:tcPr>
            <w:tcW w:w="720" w:type="dxa"/>
            <w:tcBorders>
              <w:top w:val="nil"/>
              <w:left w:val="nil"/>
              <w:bottom w:val="single" w:sz="8" w:space="0" w:color="FFFFFF"/>
              <w:right w:val="nil"/>
            </w:tcBorders>
            <w:shd w:val="clear" w:color="auto" w:fill="D9D9D9" w:themeFill="background1" w:themeFillShade="D9"/>
            <w:vAlign w:val="center"/>
            <w:hideMark/>
          </w:tcPr>
          <w:p w14:paraId="12A95DAC" w14:textId="5E4E6102" w:rsidR="00FC15D1" w:rsidRPr="00C76837" w:rsidRDefault="00FC15D1" w:rsidP="00FC15D1">
            <w:pPr>
              <w:spacing w:after="40"/>
              <w:rPr>
                <w:rFonts w:ascii="Arial Narrow" w:hAnsi="Arial Narrow"/>
                <w:color w:val="000000"/>
                <w:sz w:val="17"/>
                <w:szCs w:val="17"/>
              </w:rPr>
            </w:pPr>
            <w:r w:rsidRPr="00C76837">
              <w:rPr>
                <w:rFonts w:ascii="Arial Narrow" w:hAnsi="Arial Narrow"/>
                <w:color w:val="000000"/>
                <w:sz w:val="17"/>
                <w:szCs w:val="17"/>
              </w:rPr>
              <w:t> </w:t>
            </w:r>
          </w:p>
        </w:tc>
        <w:tc>
          <w:tcPr>
            <w:tcW w:w="720" w:type="dxa"/>
            <w:tcBorders>
              <w:top w:val="nil"/>
              <w:left w:val="nil"/>
              <w:bottom w:val="single" w:sz="8" w:space="0" w:color="FFFFFF"/>
              <w:right w:val="nil"/>
            </w:tcBorders>
            <w:shd w:val="clear" w:color="auto" w:fill="auto"/>
            <w:vAlign w:val="center"/>
            <w:hideMark/>
          </w:tcPr>
          <w:p w14:paraId="067B54F2" w14:textId="2E8017A3" w:rsidR="00FC15D1" w:rsidRPr="00C76837" w:rsidRDefault="00FC15D1" w:rsidP="00FC15D1">
            <w:pPr>
              <w:spacing w:after="40"/>
              <w:rPr>
                <w:rFonts w:ascii="Arial Narrow" w:hAnsi="Arial Narrow"/>
                <w:color w:val="000000"/>
                <w:sz w:val="17"/>
                <w:szCs w:val="17"/>
              </w:rPr>
            </w:pPr>
            <w:r w:rsidRPr="00C76837">
              <w:rPr>
                <w:rFonts w:ascii="Arial Narrow" w:hAnsi="Arial Narrow"/>
                <w:color w:val="000000"/>
                <w:sz w:val="17"/>
                <w:szCs w:val="17"/>
              </w:rPr>
              <w:t> </w:t>
            </w:r>
          </w:p>
        </w:tc>
        <w:tc>
          <w:tcPr>
            <w:tcW w:w="720" w:type="dxa"/>
            <w:tcBorders>
              <w:top w:val="nil"/>
              <w:left w:val="nil"/>
              <w:bottom w:val="single" w:sz="8" w:space="0" w:color="FFFFFF"/>
              <w:right w:val="nil"/>
            </w:tcBorders>
            <w:shd w:val="clear" w:color="auto" w:fill="D9D9D9" w:themeFill="background1" w:themeFillShade="D9"/>
            <w:vAlign w:val="center"/>
            <w:hideMark/>
          </w:tcPr>
          <w:p w14:paraId="44768A00" w14:textId="3AD959F8" w:rsidR="00FC15D1" w:rsidRPr="00C76837" w:rsidRDefault="00FC15D1" w:rsidP="00FC15D1">
            <w:pPr>
              <w:spacing w:after="40"/>
              <w:rPr>
                <w:rFonts w:ascii="Arial Narrow" w:hAnsi="Arial Narrow"/>
                <w:color w:val="000000"/>
                <w:sz w:val="17"/>
                <w:szCs w:val="17"/>
              </w:rPr>
            </w:pPr>
            <w:r w:rsidRPr="00C76837">
              <w:rPr>
                <w:rFonts w:ascii="Arial Narrow" w:hAnsi="Arial Narrow"/>
                <w:color w:val="000000"/>
                <w:sz w:val="17"/>
                <w:szCs w:val="17"/>
              </w:rPr>
              <w:t> </w:t>
            </w:r>
          </w:p>
        </w:tc>
        <w:tc>
          <w:tcPr>
            <w:tcW w:w="720" w:type="dxa"/>
            <w:tcBorders>
              <w:top w:val="nil"/>
              <w:left w:val="nil"/>
              <w:bottom w:val="single" w:sz="8" w:space="0" w:color="FFFFFF"/>
              <w:right w:val="nil"/>
            </w:tcBorders>
            <w:shd w:val="clear" w:color="auto" w:fill="auto"/>
            <w:vAlign w:val="center"/>
            <w:hideMark/>
          </w:tcPr>
          <w:p w14:paraId="129903C9" w14:textId="78E50B9F" w:rsidR="00FC15D1" w:rsidRPr="00C76837" w:rsidRDefault="00FC15D1" w:rsidP="00FC15D1">
            <w:pPr>
              <w:spacing w:after="40"/>
              <w:rPr>
                <w:rFonts w:ascii="Arial Narrow" w:hAnsi="Arial Narrow"/>
                <w:color w:val="000000"/>
                <w:sz w:val="17"/>
                <w:szCs w:val="17"/>
              </w:rPr>
            </w:pPr>
            <w:r w:rsidRPr="00C76837">
              <w:rPr>
                <w:rFonts w:ascii="Arial Narrow" w:hAnsi="Arial Narrow"/>
                <w:color w:val="000000"/>
                <w:sz w:val="17"/>
                <w:szCs w:val="17"/>
              </w:rPr>
              <w:t> </w:t>
            </w:r>
          </w:p>
        </w:tc>
        <w:tc>
          <w:tcPr>
            <w:tcW w:w="720" w:type="dxa"/>
            <w:tcBorders>
              <w:top w:val="nil"/>
              <w:left w:val="nil"/>
              <w:bottom w:val="single" w:sz="8" w:space="0" w:color="FFFFFF"/>
              <w:right w:val="nil"/>
            </w:tcBorders>
            <w:shd w:val="clear" w:color="auto" w:fill="D9D9D9" w:themeFill="background1" w:themeFillShade="D9"/>
            <w:vAlign w:val="center"/>
            <w:hideMark/>
          </w:tcPr>
          <w:p w14:paraId="1332EB12" w14:textId="25B163E5"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 4.376</w:t>
            </w:r>
          </w:p>
        </w:tc>
        <w:tc>
          <w:tcPr>
            <w:tcW w:w="720" w:type="dxa"/>
            <w:tcBorders>
              <w:top w:val="nil"/>
              <w:left w:val="nil"/>
              <w:bottom w:val="single" w:sz="8" w:space="0" w:color="FFFFFF"/>
              <w:right w:val="nil"/>
            </w:tcBorders>
            <w:shd w:val="clear" w:color="auto" w:fill="auto"/>
            <w:vAlign w:val="center"/>
            <w:hideMark/>
          </w:tcPr>
          <w:p w14:paraId="2370DC18" w14:textId="64471D3A"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2.808</w:t>
            </w:r>
          </w:p>
        </w:tc>
        <w:tc>
          <w:tcPr>
            <w:tcW w:w="760" w:type="dxa"/>
            <w:tcBorders>
              <w:top w:val="nil"/>
              <w:left w:val="nil"/>
              <w:bottom w:val="single" w:sz="8" w:space="0" w:color="FFFFFF"/>
              <w:right w:val="nil"/>
            </w:tcBorders>
            <w:shd w:val="clear" w:color="auto" w:fill="D9D9D9" w:themeFill="background1" w:themeFillShade="D9"/>
            <w:vAlign w:val="center"/>
            <w:hideMark/>
          </w:tcPr>
          <w:p w14:paraId="3BB8544B" w14:textId="064FE5B4" w:rsidR="00FC15D1" w:rsidRPr="00C76837" w:rsidRDefault="00FC15D1" w:rsidP="00FC15D1">
            <w:pPr>
              <w:spacing w:after="40"/>
              <w:jc w:val="right"/>
              <w:rPr>
                <w:rFonts w:ascii="Arial Narrow" w:hAnsi="Arial Narrow"/>
                <w:sz w:val="17"/>
                <w:szCs w:val="17"/>
              </w:rPr>
            </w:pPr>
            <w:r w:rsidRPr="00C76837">
              <w:rPr>
                <w:rFonts w:ascii="Arial Narrow" w:hAnsi="Arial Narrow"/>
                <w:color w:val="000000"/>
                <w:sz w:val="17"/>
                <w:szCs w:val="17"/>
              </w:rPr>
              <w:t>2.297</w:t>
            </w:r>
          </w:p>
        </w:tc>
        <w:tc>
          <w:tcPr>
            <w:tcW w:w="643" w:type="dxa"/>
            <w:tcBorders>
              <w:top w:val="nil"/>
              <w:left w:val="nil"/>
              <w:bottom w:val="single" w:sz="8" w:space="0" w:color="FFFFFF"/>
              <w:right w:val="nil"/>
            </w:tcBorders>
            <w:shd w:val="clear" w:color="auto" w:fill="F2F2F2" w:themeFill="background1" w:themeFillShade="F2"/>
            <w:vAlign w:val="center"/>
          </w:tcPr>
          <w:p w14:paraId="0ECBBEC9" w14:textId="7C4E2AF3"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1.539</w:t>
            </w:r>
          </w:p>
        </w:tc>
      </w:tr>
      <w:tr w:rsidR="00FC15D1" w:rsidRPr="00C76837" w14:paraId="09C61DAC" w14:textId="3962E1B6" w:rsidTr="00C643A9">
        <w:trPr>
          <w:trHeight w:val="227"/>
        </w:trPr>
        <w:tc>
          <w:tcPr>
            <w:tcW w:w="3119" w:type="dxa"/>
            <w:tcBorders>
              <w:top w:val="nil"/>
              <w:left w:val="nil"/>
              <w:bottom w:val="single" w:sz="8" w:space="0" w:color="FFFFFF"/>
              <w:right w:val="nil"/>
            </w:tcBorders>
            <w:shd w:val="clear" w:color="auto" w:fill="auto"/>
            <w:vAlign w:val="bottom"/>
            <w:hideMark/>
          </w:tcPr>
          <w:p w14:paraId="2B68B322"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Separazioni totali</w:t>
            </w:r>
          </w:p>
        </w:tc>
        <w:tc>
          <w:tcPr>
            <w:tcW w:w="720" w:type="dxa"/>
            <w:tcBorders>
              <w:top w:val="nil"/>
              <w:left w:val="nil"/>
              <w:bottom w:val="single" w:sz="8" w:space="0" w:color="FFFFFF"/>
              <w:right w:val="nil"/>
            </w:tcBorders>
            <w:shd w:val="clear" w:color="auto" w:fill="D9D9D9" w:themeFill="background1" w:themeFillShade="D9"/>
            <w:vAlign w:val="center"/>
            <w:hideMark/>
          </w:tcPr>
          <w:p w14:paraId="6AACE09D" w14:textId="4470F66C"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84.165</w:t>
            </w:r>
          </w:p>
        </w:tc>
        <w:tc>
          <w:tcPr>
            <w:tcW w:w="720" w:type="dxa"/>
            <w:tcBorders>
              <w:top w:val="nil"/>
              <w:left w:val="nil"/>
              <w:bottom w:val="single" w:sz="8" w:space="0" w:color="FFFFFF"/>
              <w:right w:val="nil"/>
            </w:tcBorders>
            <w:shd w:val="clear" w:color="auto" w:fill="auto"/>
            <w:vAlign w:val="center"/>
            <w:hideMark/>
          </w:tcPr>
          <w:p w14:paraId="0531C8E5" w14:textId="6E302D5E"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88.191</w:t>
            </w:r>
          </w:p>
        </w:tc>
        <w:tc>
          <w:tcPr>
            <w:tcW w:w="720" w:type="dxa"/>
            <w:tcBorders>
              <w:top w:val="nil"/>
              <w:left w:val="nil"/>
              <w:bottom w:val="single" w:sz="8" w:space="0" w:color="FFFFFF"/>
              <w:right w:val="nil"/>
            </w:tcBorders>
            <w:shd w:val="clear" w:color="auto" w:fill="D9D9D9" w:themeFill="background1" w:themeFillShade="D9"/>
            <w:vAlign w:val="center"/>
            <w:hideMark/>
          </w:tcPr>
          <w:p w14:paraId="61F4B535" w14:textId="1FD771BD"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88.288</w:t>
            </w:r>
          </w:p>
        </w:tc>
        <w:tc>
          <w:tcPr>
            <w:tcW w:w="720" w:type="dxa"/>
            <w:tcBorders>
              <w:top w:val="nil"/>
              <w:left w:val="nil"/>
              <w:bottom w:val="single" w:sz="8" w:space="0" w:color="FFFFFF"/>
              <w:right w:val="nil"/>
            </w:tcBorders>
            <w:shd w:val="clear" w:color="auto" w:fill="auto"/>
            <w:vAlign w:val="center"/>
            <w:hideMark/>
          </w:tcPr>
          <w:p w14:paraId="03D89F0E" w14:textId="717FA8B3"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89.303</w:t>
            </w:r>
          </w:p>
        </w:tc>
        <w:tc>
          <w:tcPr>
            <w:tcW w:w="720" w:type="dxa"/>
            <w:tcBorders>
              <w:top w:val="nil"/>
              <w:left w:val="nil"/>
              <w:bottom w:val="single" w:sz="8" w:space="0" w:color="FFFFFF"/>
              <w:right w:val="nil"/>
            </w:tcBorders>
            <w:shd w:val="clear" w:color="auto" w:fill="D9D9D9" w:themeFill="background1" w:themeFillShade="D9"/>
            <w:vAlign w:val="center"/>
            <w:hideMark/>
          </w:tcPr>
          <w:p w14:paraId="285A85AC" w14:textId="11960CA3"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91.706</w:t>
            </w:r>
          </w:p>
        </w:tc>
        <w:tc>
          <w:tcPr>
            <w:tcW w:w="720" w:type="dxa"/>
            <w:tcBorders>
              <w:top w:val="nil"/>
              <w:left w:val="nil"/>
              <w:bottom w:val="single" w:sz="8" w:space="0" w:color="FFFFFF"/>
              <w:right w:val="nil"/>
            </w:tcBorders>
            <w:shd w:val="clear" w:color="auto" w:fill="auto"/>
            <w:vAlign w:val="center"/>
            <w:hideMark/>
          </w:tcPr>
          <w:p w14:paraId="33C6EA0E" w14:textId="033D8D6B"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99.611</w:t>
            </w:r>
          </w:p>
        </w:tc>
        <w:tc>
          <w:tcPr>
            <w:tcW w:w="720" w:type="dxa"/>
            <w:tcBorders>
              <w:top w:val="nil"/>
              <w:left w:val="nil"/>
              <w:bottom w:val="single" w:sz="8" w:space="0" w:color="FFFFFF"/>
              <w:right w:val="nil"/>
            </w:tcBorders>
            <w:shd w:val="clear" w:color="auto" w:fill="D9D9D9" w:themeFill="background1" w:themeFillShade="D9"/>
            <w:vAlign w:val="center"/>
            <w:hideMark/>
          </w:tcPr>
          <w:p w14:paraId="710DFB5E" w14:textId="66E51441"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98.461</w:t>
            </w:r>
          </w:p>
        </w:tc>
        <w:tc>
          <w:tcPr>
            <w:tcW w:w="720" w:type="dxa"/>
            <w:tcBorders>
              <w:top w:val="nil"/>
              <w:left w:val="nil"/>
              <w:bottom w:val="single" w:sz="8" w:space="0" w:color="FFFFFF"/>
              <w:right w:val="nil"/>
            </w:tcBorders>
            <w:shd w:val="clear" w:color="auto" w:fill="auto"/>
            <w:vAlign w:val="center"/>
            <w:hideMark/>
          </w:tcPr>
          <w:p w14:paraId="40712EA6" w14:textId="27BBC4FF"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98.925</w:t>
            </w:r>
          </w:p>
        </w:tc>
        <w:tc>
          <w:tcPr>
            <w:tcW w:w="760" w:type="dxa"/>
            <w:tcBorders>
              <w:top w:val="nil"/>
              <w:left w:val="nil"/>
              <w:bottom w:val="single" w:sz="8" w:space="0" w:color="FFFFFF"/>
              <w:right w:val="nil"/>
            </w:tcBorders>
            <w:shd w:val="clear" w:color="auto" w:fill="D9D9D9" w:themeFill="background1" w:themeFillShade="D9"/>
            <w:vAlign w:val="center"/>
            <w:hideMark/>
          </w:tcPr>
          <w:p w14:paraId="5117668D" w14:textId="1D1BE5CA"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97.474</w:t>
            </w:r>
          </w:p>
        </w:tc>
        <w:tc>
          <w:tcPr>
            <w:tcW w:w="643" w:type="dxa"/>
            <w:tcBorders>
              <w:top w:val="nil"/>
              <w:left w:val="nil"/>
              <w:bottom w:val="single" w:sz="8" w:space="0" w:color="FFFFFF"/>
              <w:right w:val="nil"/>
            </w:tcBorders>
            <w:shd w:val="clear" w:color="auto" w:fill="F2F2F2" w:themeFill="background1" w:themeFillShade="F2"/>
            <w:vAlign w:val="center"/>
          </w:tcPr>
          <w:p w14:paraId="2179E1E7" w14:textId="776ECE26"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79.917</w:t>
            </w:r>
          </w:p>
        </w:tc>
      </w:tr>
      <w:tr w:rsidR="00FC15D1" w:rsidRPr="00C76837" w14:paraId="05483D3A" w14:textId="5BDC2C24" w:rsidTr="00C643A9">
        <w:trPr>
          <w:trHeight w:val="227"/>
        </w:trPr>
        <w:tc>
          <w:tcPr>
            <w:tcW w:w="3119" w:type="dxa"/>
            <w:tcBorders>
              <w:top w:val="nil"/>
              <w:left w:val="nil"/>
              <w:bottom w:val="nil"/>
              <w:right w:val="nil"/>
            </w:tcBorders>
            <w:shd w:val="clear" w:color="auto" w:fill="auto"/>
            <w:vAlign w:val="bottom"/>
            <w:hideMark/>
          </w:tcPr>
          <w:p w14:paraId="496178ED" w14:textId="77777777" w:rsidR="00FC15D1" w:rsidRPr="00C76837" w:rsidRDefault="00FC15D1" w:rsidP="00FC15D1">
            <w:pPr>
              <w:spacing w:after="40"/>
              <w:rPr>
                <w:rFonts w:ascii="Arial Narrow" w:hAnsi="Arial Narrow"/>
                <w:color w:val="1F497D"/>
                <w:sz w:val="17"/>
                <w:szCs w:val="17"/>
              </w:rPr>
            </w:pPr>
            <w:r w:rsidRPr="00C76837">
              <w:rPr>
                <w:rFonts w:ascii="Arial Narrow" w:hAnsi="Arial Narrow"/>
                <w:color w:val="1F497D"/>
                <w:sz w:val="17"/>
                <w:szCs w:val="17"/>
              </w:rPr>
              <w:t>Divorzi totali</w:t>
            </w:r>
          </w:p>
        </w:tc>
        <w:tc>
          <w:tcPr>
            <w:tcW w:w="720" w:type="dxa"/>
            <w:tcBorders>
              <w:top w:val="nil"/>
              <w:left w:val="nil"/>
              <w:bottom w:val="nil"/>
              <w:right w:val="nil"/>
            </w:tcBorders>
            <w:shd w:val="clear" w:color="auto" w:fill="D9D9D9" w:themeFill="background1" w:themeFillShade="D9"/>
            <w:vAlign w:val="center"/>
            <w:hideMark/>
          </w:tcPr>
          <w:p w14:paraId="3B68EEBF" w14:textId="3E0F8068"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54.351</w:t>
            </w:r>
          </w:p>
        </w:tc>
        <w:tc>
          <w:tcPr>
            <w:tcW w:w="720" w:type="dxa"/>
            <w:tcBorders>
              <w:top w:val="nil"/>
              <w:left w:val="nil"/>
              <w:bottom w:val="nil"/>
              <w:right w:val="nil"/>
            </w:tcBorders>
            <w:shd w:val="clear" w:color="auto" w:fill="auto"/>
            <w:vAlign w:val="center"/>
            <w:hideMark/>
          </w:tcPr>
          <w:p w14:paraId="439BD646" w14:textId="558DBBBD"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54.160</w:t>
            </w:r>
          </w:p>
        </w:tc>
        <w:tc>
          <w:tcPr>
            <w:tcW w:w="720" w:type="dxa"/>
            <w:tcBorders>
              <w:top w:val="nil"/>
              <w:left w:val="nil"/>
              <w:bottom w:val="nil"/>
              <w:right w:val="nil"/>
            </w:tcBorders>
            <w:shd w:val="clear" w:color="auto" w:fill="D9D9D9" w:themeFill="background1" w:themeFillShade="D9"/>
            <w:vAlign w:val="center"/>
            <w:hideMark/>
          </w:tcPr>
          <w:p w14:paraId="4C7820CF" w14:textId="6BC57A38"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51.319</w:t>
            </w:r>
          </w:p>
        </w:tc>
        <w:tc>
          <w:tcPr>
            <w:tcW w:w="720" w:type="dxa"/>
            <w:tcBorders>
              <w:top w:val="nil"/>
              <w:left w:val="nil"/>
              <w:bottom w:val="nil"/>
              <w:right w:val="nil"/>
            </w:tcBorders>
            <w:shd w:val="clear" w:color="auto" w:fill="auto"/>
            <w:vAlign w:val="center"/>
            <w:hideMark/>
          </w:tcPr>
          <w:p w14:paraId="378F75D3" w14:textId="0B7C8607"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52.355</w:t>
            </w:r>
          </w:p>
        </w:tc>
        <w:tc>
          <w:tcPr>
            <w:tcW w:w="720" w:type="dxa"/>
            <w:tcBorders>
              <w:top w:val="nil"/>
              <w:left w:val="nil"/>
              <w:bottom w:val="nil"/>
              <w:right w:val="nil"/>
            </w:tcBorders>
            <w:shd w:val="clear" w:color="auto" w:fill="D9D9D9" w:themeFill="background1" w:themeFillShade="D9"/>
            <w:vAlign w:val="center"/>
            <w:hideMark/>
          </w:tcPr>
          <w:p w14:paraId="15A7E437" w14:textId="66EC2B3D"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82.469</w:t>
            </w:r>
          </w:p>
        </w:tc>
        <w:tc>
          <w:tcPr>
            <w:tcW w:w="720" w:type="dxa"/>
            <w:tcBorders>
              <w:top w:val="nil"/>
              <w:left w:val="nil"/>
              <w:bottom w:val="nil"/>
              <w:right w:val="nil"/>
            </w:tcBorders>
            <w:shd w:val="clear" w:color="auto" w:fill="auto"/>
            <w:vAlign w:val="center"/>
            <w:hideMark/>
          </w:tcPr>
          <w:p w14:paraId="64EACD2C" w14:textId="768333D1"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99.071</w:t>
            </w:r>
          </w:p>
        </w:tc>
        <w:tc>
          <w:tcPr>
            <w:tcW w:w="720" w:type="dxa"/>
            <w:tcBorders>
              <w:top w:val="nil"/>
              <w:left w:val="nil"/>
              <w:bottom w:val="nil"/>
              <w:right w:val="nil"/>
            </w:tcBorders>
            <w:shd w:val="clear" w:color="auto" w:fill="D9D9D9" w:themeFill="background1" w:themeFillShade="D9"/>
            <w:vAlign w:val="center"/>
            <w:hideMark/>
          </w:tcPr>
          <w:p w14:paraId="1ECDFDDC" w14:textId="00F3E780"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91.629</w:t>
            </w:r>
          </w:p>
        </w:tc>
        <w:tc>
          <w:tcPr>
            <w:tcW w:w="720" w:type="dxa"/>
            <w:tcBorders>
              <w:top w:val="nil"/>
              <w:left w:val="nil"/>
              <w:bottom w:val="nil"/>
              <w:right w:val="nil"/>
            </w:tcBorders>
            <w:shd w:val="clear" w:color="auto" w:fill="auto"/>
            <w:vAlign w:val="center"/>
            <w:hideMark/>
          </w:tcPr>
          <w:p w14:paraId="5F909179" w14:textId="5BF8FBD4"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88.458</w:t>
            </w:r>
          </w:p>
        </w:tc>
        <w:tc>
          <w:tcPr>
            <w:tcW w:w="760" w:type="dxa"/>
            <w:tcBorders>
              <w:top w:val="nil"/>
              <w:left w:val="nil"/>
              <w:bottom w:val="nil"/>
              <w:right w:val="nil"/>
            </w:tcBorders>
            <w:shd w:val="clear" w:color="auto" w:fill="D9D9D9" w:themeFill="background1" w:themeFillShade="D9"/>
            <w:vAlign w:val="center"/>
            <w:hideMark/>
          </w:tcPr>
          <w:p w14:paraId="4829C3C5" w14:textId="6728C62D"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85.349</w:t>
            </w:r>
          </w:p>
        </w:tc>
        <w:tc>
          <w:tcPr>
            <w:tcW w:w="643" w:type="dxa"/>
            <w:tcBorders>
              <w:top w:val="nil"/>
              <w:left w:val="nil"/>
              <w:bottom w:val="nil"/>
              <w:right w:val="nil"/>
            </w:tcBorders>
            <w:shd w:val="clear" w:color="auto" w:fill="F2F2F2" w:themeFill="background1" w:themeFillShade="F2"/>
            <w:vAlign w:val="center"/>
          </w:tcPr>
          <w:p w14:paraId="28963706" w14:textId="7A0F4C70" w:rsidR="00FC15D1" w:rsidRPr="00C76837" w:rsidRDefault="00FC15D1" w:rsidP="00FC15D1">
            <w:pPr>
              <w:spacing w:after="40"/>
              <w:jc w:val="right"/>
              <w:rPr>
                <w:rFonts w:ascii="Arial Narrow" w:hAnsi="Arial Narrow"/>
                <w:color w:val="000000"/>
                <w:sz w:val="17"/>
                <w:szCs w:val="17"/>
              </w:rPr>
            </w:pPr>
            <w:r w:rsidRPr="00C76837">
              <w:rPr>
                <w:rFonts w:ascii="Arial Narrow" w:hAnsi="Arial Narrow"/>
                <w:color w:val="000000"/>
                <w:sz w:val="17"/>
                <w:szCs w:val="17"/>
              </w:rPr>
              <w:t>66.662</w:t>
            </w:r>
          </w:p>
        </w:tc>
      </w:tr>
    </w:tbl>
    <w:p w14:paraId="7D1E0F4E" w14:textId="77777777" w:rsidR="000450A5" w:rsidRDefault="000450A5">
      <w:pPr>
        <w:rPr>
          <w:rFonts w:ascii="Arial" w:hAnsi="Arial" w:cs="Arial"/>
          <w:bCs/>
          <w:color w:val="1F497D" w:themeColor="text2"/>
          <w:sz w:val="22"/>
          <w:szCs w:val="22"/>
        </w:rPr>
      </w:pPr>
      <w:r>
        <w:rPr>
          <w:rFonts w:ascii="Arial" w:hAnsi="Arial"/>
          <w:bCs/>
          <w:color w:val="1F497D" w:themeColor="text2"/>
          <w:sz w:val="22"/>
          <w:szCs w:val="22"/>
        </w:rPr>
        <w:br w:type="page"/>
      </w:r>
    </w:p>
    <w:p w14:paraId="73189C09" w14:textId="77777777" w:rsidR="006140BE" w:rsidRPr="00490976" w:rsidRDefault="006140BE" w:rsidP="00CB5F8C">
      <w:pPr>
        <w:pStyle w:val="RAtesto"/>
        <w:rPr>
          <w:rFonts w:ascii="Arial" w:hAnsi="Arial"/>
          <w:bCs/>
          <w:color w:val="1F497D" w:themeColor="text2"/>
          <w:sz w:val="22"/>
          <w:szCs w:val="22"/>
        </w:rPr>
      </w:pPr>
    </w:p>
    <w:p w14:paraId="532FB099" w14:textId="168E19F6" w:rsidR="00F5771D" w:rsidRDefault="00F5771D" w:rsidP="00791272">
      <w:pPr>
        <w:pStyle w:val="RAtesto"/>
        <w:spacing w:line="240" w:lineRule="auto"/>
        <w:rPr>
          <w:rFonts w:ascii="Arial" w:hAnsi="Arial"/>
          <w:sz w:val="22"/>
          <w:szCs w:val="22"/>
        </w:rPr>
      </w:pPr>
      <w:r>
        <w:rPr>
          <w:rFonts w:ascii="Arial" w:hAnsi="Arial"/>
          <w:sz w:val="22"/>
          <w:szCs w:val="22"/>
        </w:rPr>
        <w:t xml:space="preserve">La diminuzione tendenziale di lungo periodo ha avuto </w:t>
      </w:r>
      <w:r w:rsidRPr="00EB227C">
        <w:rPr>
          <w:rFonts w:ascii="Arial" w:hAnsi="Arial"/>
          <w:sz w:val="22"/>
          <w:szCs w:val="22"/>
        </w:rPr>
        <w:t xml:space="preserve">alcune oscillazioni </w:t>
      </w:r>
      <w:r>
        <w:rPr>
          <w:rFonts w:ascii="Arial" w:hAnsi="Arial"/>
          <w:sz w:val="22"/>
          <w:szCs w:val="22"/>
        </w:rPr>
        <w:t>congiunturali</w:t>
      </w:r>
      <w:r w:rsidRPr="00EB227C">
        <w:rPr>
          <w:rFonts w:ascii="Arial" w:hAnsi="Arial"/>
          <w:sz w:val="22"/>
          <w:szCs w:val="22"/>
        </w:rPr>
        <w:t xml:space="preserve">. Per </w:t>
      </w:r>
      <w:r w:rsidR="003C505C">
        <w:rPr>
          <w:rFonts w:ascii="Arial" w:hAnsi="Arial"/>
          <w:sz w:val="22"/>
          <w:szCs w:val="22"/>
        </w:rPr>
        <w:t>esempio</w:t>
      </w:r>
      <w:r w:rsidRPr="00EB227C">
        <w:rPr>
          <w:rFonts w:ascii="Arial" w:hAnsi="Arial"/>
          <w:sz w:val="22"/>
          <w:szCs w:val="22"/>
        </w:rPr>
        <w:t xml:space="preserve">, un aumento dei matrimoni è stato osservato nel 2000, per l’attrattività che tale anno ha esercitato su chi ha voluto celebrare le proprie nozze all’inizio del nuovo millennio. All’opposto, nel triennio 2009-2011 </w:t>
      </w:r>
      <w:r w:rsidR="006B123D">
        <w:rPr>
          <w:rFonts w:ascii="Arial" w:hAnsi="Arial"/>
          <w:sz w:val="22"/>
          <w:szCs w:val="22"/>
        </w:rPr>
        <w:t>l</w:t>
      </w:r>
      <w:r w:rsidRPr="00EB227C">
        <w:rPr>
          <w:rFonts w:ascii="Arial" w:hAnsi="Arial"/>
          <w:sz w:val="22"/>
          <w:szCs w:val="22"/>
        </w:rPr>
        <w:t xml:space="preserve">a diminuzione </w:t>
      </w:r>
      <w:r w:rsidR="006B123D">
        <w:rPr>
          <w:rFonts w:ascii="Arial" w:hAnsi="Arial"/>
          <w:sz w:val="22"/>
          <w:szCs w:val="22"/>
        </w:rPr>
        <w:t xml:space="preserve">è stata </w:t>
      </w:r>
      <w:r w:rsidRPr="00EB227C">
        <w:rPr>
          <w:rFonts w:ascii="Arial" w:hAnsi="Arial"/>
          <w:sz w:val="22"/>
          <w:szCs w:val="22"/>
        </w:rPr>
        <w:t xml:space="preserve">particolarmente accentuata </w:t>
      </w:r>
      <w:r w:rsidR="006B123D">
        <w:rPr>
          <w:rFonts w:ascii="Arial" w:hAnsi="Arial"/>
          <w:sz w:val="22"/>
          <w:szCs w:val="22"/>
        </w:rPr>
        <w:t xml:space="preserve">e </w:t>
      </w:r>
      <w:r w:rsidRPr="00EB227C">
        <w:rPr>
          <w:rFonts w:ascii="Arial" w:hAnsi="Arial"/>
          <w:sz w:val="22"/>
          <w:szCs w:val="22"/>
        </w:rPr>
        <w:t>dovuta al crollo delle nozze dei cittadini stranieri, scoraggiati dalle modifiche legislative volte a limitare i matrimoni di comodo e dagli effetti della crisi del 2008 che li ha colpiti particolarmente.</w:t>
      </w:r>
      <w:r w:rsidRPr="00EB227C">
        <w:rPr>
          <w:rStyle w:val="Rimandonotadichiusura"/>
          <w:rFonts w:ascii="Arial" w:hAnsi="Arial"/>
          <w:sz w:val="22"/>
          <w:szCs w:val="22"/>
        </w:rPr>
        <w:endnoteReference w:id="3"/>
      </w:r>
      <w:r w:rsidRPr="00EB227C">
        <w:rPr>
          <w:rFonts w:ascii="Arial" w:hAnsi="Arial"/>
          <w:sz w:val="22"/>
          <w:szCs w:val="22"/>
        </w:rPr>
        <w:t xml:space="preserve"> </w:t>
      </w:r>
    </w:p>
    <w:p w14:paraId="6796B7F2" w14:textId="109CBF00" w:rsidR="00F5771D" w:rsidRDefault="003C505C">
      <w:pPr>
        <w:pStyle w:val="RAtesto"/>
        <w:spacing w:line="240" w:lineRule="auto"/>
        <w:rPr>
          <w:rFonts w:ascii="Arial" w:hAnsi="Arial"/>
          <w:sz w:val="22"/>
          <w:szCs w:val="22"/>
        </w:rPr>
      </w:pPr>
      <w:r>
        <w:rPr>
          <w:rFonts w:ascii="Arial" w:hAnsi="Arial"/>
          <w:sz w:val="22"/>
          <w:szCs w:val="22"/>
        </w:rPr>
        <w:t>L</w:t>
      </w:r>
      <w:r w:rsidRPr="00227318">
        <w:rPr>
          <w:rFonts w:ascii="Arial" w:hAnsi="Arial"/>
          <w:sz w:val="22"/>
          <w:szCs w:val="22"/>
        </w:rPr>
        <w:t xml:space="preserve">a </w:t>
      </w:r>
      <w:r>
        <w:rPr>
          <w:rFonts w:ascii="Arial" w:hAnsi="Arial"/>
          <w:sz w:val="22"/>
          <w:szCs w:val="22"/>
        </w:rPr>
        <w:t>caduta</w:t>
      </w:r>
      <w:r w:rsidRPr="00227318">
        <w:rPr>
          <w:rFonts w:ascii="Arial" w:hAnsi="Arial"/>
          <w:sz w:val="22"/>
          <w:szCs w:val="22"/>
        </w:rPr>
        <w:t xml:space="preserve"> dei matrimoni</w:t>
      </w:r>
      <w:r>
        <w:rPr>
          <w:rFonts w:ascii="Arial" w:hAnsi="Arial"/>
          <w:sz w:val="22"/>
          <w:szCs w:val="22"/>
        </w:rPr>
        <w:t xml:space="preserve"> è</w:t>
      </w:r>
      <w:r w:rsidR="00F5771D" w:rsidRPr="00227318">
        <w:rPr>
          <w:rFonts w:ascii="Arial" w:hAnsi="Arial"/>
          <w:sz w:val="22"/>
          <w:szCs w:val="22"/>
        </w:rPr>
        <w:t xml:space="preserve"> </w:t>
      </w:r>
      <w:r w:rsidR="00F5771D">
        <w:rPr>
          <w:rFonts w:ascii="Arial" w:hAnsi="Arial"/>
          <w:sz w:val="22"/>
          <w:szCs w:val="22"/>
        </w:rPr>
        <w:t xml:space="preserve">attribuibile </w:t>
      </w:r>
      <w:r>
        <w:rPr>
          <w:rFonts w:ascii="Arial" w:hAnsi="Arial"/>
          <w:sz w:val="22"/>
          <w:szCs w:val="22"/>
        </w:rPr>
        <w:t xml:space="preserve">soprattutto </w:t>
      </w:r>
      <w:r w:rsidR="00F5771D" w:rsidRPr="00227318">
        <w:rPr>
          <w:rFonts w:ascii="Arial" w:hAnsi="Arial"/>
          <w:sz w:val="22"/>
          <w:szCs w:val="22"/>
        </w:rPr>
        <w:t>al calo delle prime nozze</w:t>
      </w:r>
      <w:r w:rsidRPr="003C505C">
        <w:rPr>
          <w:rFonts w:ascii="Arial" w:hAnsi="Arial"/>
          <w:sz w:val="22"/>
          <w:szCs w:val="22"/>
        </w:rPr>
        <w:t xml:space="preserve"> </w:t>
      </w:r>
      <w:r>
        <w:rPr>
          <w:rFonts w:ascii="Arial" w:hAnsi="Arial"/>
          <w:sz w:val="22"/>
          <w:szCs w:val="22"/>
        </w:rPr>
        <w:t>che,</w:t>
      </w:r>
      <w:r w:rsidR="00F5771D">
        <w:rPr>
          <w:rFonts w:ascii="Arial" w:hAnsi="Arial"/>
          <w:sz w:val="22"/>
          <w:szCs w:val="22"/>
        </w:rPr>
        <w:t xml:space="preserve"> n</w:t>
      </w:r>
      <w:r w:rsidR="00F5771D" w:rsidRPr="00227318">
        <w:rPr>
          <w:rFonts w:ascii="Arial" w:hAnsi="Arial"/>
          <w:sz w:val="22"/>
          <w:szCs w:val="22"/>
        </w:rPr>
        <w:t>el 2020</w:t>
      </w:r>
      <w:r>
        <w:rPr>
          <w:rFonts w:ascii="Arial" w:hAnsi="Arial"/>
          <w:sz w:val="22"/>
          <w:szCs w:val="22"/>
        </w:rPr>
        <w:t>,</w:t>
      </w:r>
      <w:r w:rsidR="00F5771D" w:rsidRPr="00227318">
        <w:rPr>
          <w:rFonts w:ascii="Arial" w:hAnsi="Arial"/>
          <w:sz w:val="22"/>
          <w:szCs w:val="22"/>
        </w:rPr>
        <w:t xml:space="preserve"> registra</w:t>
      </w:r>
      <w:r w:rsidR="00271F9A">
        <w:rPr>
          <w:rFonts w:ascii="Arial" w:hAnsi="Arial"/>
          <w:sz w:val="22"/>
          <w:szCs w:val="22"/>
        </w:rPr>
        <w:t>no</w:t>
      </w:r>
      <w:r w:rsidR="00F5771D" w:rsidRPr="00227318">
        <w:rPr>
          <w:rFonts w:ascii="Arial" w:hAnsi="Arial"/>
          <w:sz w:val="22"/>
          <w:szCs w:val="22"/>
        </w:rPr>
        <w:t xml:space="preserve"> un nuovo minimo</w:t>
      </w:r>
      <w:r w:rsidR="006B123D">
        <w:rPr>
          <w:rFonts w:ascii="Arial" w:hAnsi="Arial"/>
          <w:sz w:val="22"/>
          <w:szCs w:val="22"/>
        </w:rPr>
        <w:t>, s</w:t>
      </w:r>
      <w:r w:rsidR="00F5771D" w:rsidRPr="00227318">
        <w:rPr>
          <w:rFonts w:ascii="Arial" w:hAnsi="Arial"/>
          <w:sz w:val="22"/>
          <w:szCs w:val="22"/>
        </w:rPr>
        <w:t>ol</w:t>
      </w:r>
      <w:r>
        <w:rPr>
          <w:rFonts w:ascii="Arial" w:hAnsi="Arial"/>
          <w:sz w:val="22"/>
          <w:szCs w:val="22"/>
        </w:rPr>
        <w:t>tant</w:t>
      </w:r>
      <w:r w:rsidR="00F5771D" w:rsidRPr="00227318">
        <w:rPr>
          <w:rFonts w:ascii="Arial" w:hAnsi="Arial"/>
          <w:sz w:val="22"/>
          <w:szCs w:val="22"/>
        </w:rPr>
        <w:t>o 69.743</w:t>
      </w:r>
      <w:r w:rsidR="00F5771D">
        <w:rPr>
          <w:rFonts w:ascii="Arial" w:hAnsi="Arial"/>
          <w:sz w:val="22"/>
          <w:szCs w:val="22"/>
        </w:rPr>
        <w:t xml:space="preserve"> </w:t>
      </w:r>
      <w:r w:rsidR="00F5771D" w:rsidRPr="00227318">
        <w:rPr>
          <w:rFonts w:ascii="Arial" w:hAnsi="Arial"/>
          <w:sz w:val="22"/>
          <w:szCs w:val="22"/>
        </w:rPr>
        <w:t xml:space="preserve">(-52,3% rispetto al 2019). A diminuire di più sono state le prime nozze con lo sposo </w:t>
      </w:r>
      <w:r>
        <w:rPr>
          <w:rFonts w:ascii="Arial" w:hAnsi="Arial"/>
          <w:sz w:val="22"/>
          <w:szCs w:val="22"/>
        </w:rPr>
        <w:t xml:space="preserve">in età </w:t>
      </w:r>
      <w:r w:rsidR="00F5771D" w:rsidRPr="00227318">
        <w:rPr>
          <w:rFonts w:ascii="Arial" w:hAnsi="Arial"/>
          <w:sz w:val="22"/>
          <w:szCs w:val="22"/>
        </w:rPr>
        <w:t>tra 30 e 39 anni (-5</w:t>
      </w:r>
      <w:r w:rsidR="00F5771D">
        <w:rPr>
          <w:rFonts w:ascii="Arial" w:hAnsi="Arial"/>
          <w:sz w:val="22"/>
          <w:szCs w:val="22"/>
        </w:rPr>
        <w:t>5</w:t>
      </w:r>
      <w:r w:rsidR="00F5771D" w:rsidRPr="00227318">
        <w:rPr>
          <w:rFonts w:ascii="Arial" w:hAnsi="Arial"/>
          <w:sz w:val="22"/>
          <w:szCs w:val="22"/>
        </w:rPr>
        <w:t>,</w:t>
      </w:r>
      <w:r w:rsidR="00F5771D">
        <w:rPr>
          <w:rFonts w:ascii="Arial" w:hAnsi="Arial"/>
          <w:sz w:val="22"/>
          <w:szCs w:val="22"/>
        </w:rPr>
        <w:t>8</w:t>
      </w:r>
      <w:r w:rsidR="00F5771D" w:rsidRPr="00227318">
        <w:rPr>
          <w:rFonts w:ascii="Arial" w:hAnsi="Arial"/>
          <w:sz w:val="22"/>
          <w:szCs w:val="22"/>
        </w:rPr>
        <w:t>%) e quelle con la sposa fino a 39 anni (-54</w:t>
      </w:r>
      <w:r w:rsidR="00F5771D">
        <w:rPr>
          <w:rFonts w:ascii="Arial" w:hAnsi="Arial"/>
          <w:sz w:val="22"/>
          <w:szCs w:val="22"/>
        </w:rPr>
        <w:t>,4</w:t>
      </w:r>
      <w:r w:rsidR="00F5771D" w:rsidRPr="00227318">
        <w:rPr>
          <w:rFonts w:ascii="Arial" w:hAnsi="Arial"/>
          <w:sz w:val="22"/>
          <w:szCs w:val="22"/>
        </w:rPr>
        <w:t>%)</w:t>
      </w:r>
      <w:r w:rsidR="00F5771D">
        <w:rPr>
          <w:rFonts w:ascii="Arial" w:hAnsi="Arial"/>
          <w:sz w:val="22"/>
          <w:szCs w:val="22"/>
        </w:rPr>
        <w:t xml:space="preserve">. </w:t>
      </w:r>
      <w:r w:rsidR="006B123D">
        <w:rPr>
          <w:rFonts w:ascii="Arial" w:hAnsi="Arial"/>
          <w:sz w:val="22"/>
          <w:szCs w:val="22"/>
        </w:rPr>
        <w:t>Un calo</w:t>
      </w:r>
      <w:r w:rsidR="00F5771D">
        <w:rPr>
          <w:rFonts w:ascii="Arial" w:hAnsi="Arial"/>
          <w:sz w:val="22"/>
          <w:szCs w:val="22"/>
        </w:rPr>
        <w:t xml:space="preserve"> </w:t>
      </w:r>
      <w:r w:rsidR="00F5771D" w:rsidRPr="00227318">
        <w:rPr>
          <w:rFonts w:ascii="Arial" w:hAnsi="Arial"/>
          <w:sz w:val="22"/>
          <w:szCs w:val="22"/>
        </w:rPr>
        <w:t xml:space="preserve">più </w:t>
      </w:r>
      <w:r w:rsidR="006B123D">
        <w:rPr>
          <w:rFonts w:ascii="Arial" w:hAnsi="Arial"/>
          <w:sz w:val="22"/>
          <w:szCs w:val="22"/>
        </w:rPr>
        <w:t xml:space="preserve">limitato </w:t>
      </w:r>
      <w:r w:rsidR="00F5771D">
        <w:rPr>
          <w:rFonts w:ascii="Arial" w:hAnsi="Arial"/>
          <w:sz w:val="22"/>
          <w:szCs w:val="22"/>
        </w:rPr>
        <w:t>riguarda</w:t>
      </w:r>
      <w:r w:rsidR="00F5771D" w:rsidRPr="00227318">
        <w:rPr>
          <w:rFonts w:ascii="Arial" w:hAnsi="Arial"/>
          <w:sz w:val="22"/>
          <w:szCs w:val="22"/>
        </w:rPr>
        <w:t xml:space="preserve"> invece i primi </w:t>
      </w:r>
      <w:r w:rsidR="00F5771D" w:rsidRPr="008A6722">
        <w:rPr>
          <w:rFonts w:ascii="Arial" w:hAnsi="Arial"/>
          <w:sz w:val="22"/>
          <w:szCs w:val="22"/>
        </w:rPr>
        <w:t xml:space="preserve">matrimoni in cui entrambi </w:t>
      </w:r>
      <w:r w:rsidR="00F5771D">
        <w:rPr>
          <w:rFonts w:ascii="Arial" w:hAnsi="Arial"/>
          <w:sz w:val="22"/>
          <w:szCs w:val="22"/>
        </w:rPr>
        <w:t xml:space="preserve">gli sposi </w:t>
      </w:r>
      <w:r w:rsidR="00F5771D" w:rsidRPr="008A6722">
        <w:rPr>
          <w:rFonts w:ascii="Arial" w:hAnsi="Arial"/>
          <w:sz w:val="22"/>
          <w:szCs w:val="22"/>
        </w:rPr>
        <w:t>hanno almeno 50 anni</w:t>
      </w:r>
      <w:r w:rsidR="00F5771D">
        <w:rPr>
          <w:rFonts w:ascii="Arial" w:hAnsi="Arial"/>
          <w:sz w:val="22"/>
          <w:szCs w:val="22"/>
        </w:rPr>
        <w:t xml:space="preserve"> (-26,9%)</w:t>
      </w:r>
      <w:r w:rsidR="00F5771D" w:rsidRPr="008A6722">
        <w:rPr>
          <w:rFonts w:ascii="Arial" w:hAnsi="Arial"/>
          <w:sz w:val="22"/>
          <w:szCs w:val="22"/>
        </w:rPr>
        <w:t>.</w:t>
      </w:r>
      <w:r w:rsidR="00F5771D">
        <w:rPr>
          <w:rFonts w:ascii="Arial" w:hAnsi="Arial"/>
          <w:sz w:val="22"/>
          <w:szCs w:val="22"/>
        </w:rPr>
        <w:t xml:space="preserve"> </w:t>
      </w:r>
    </w:p>
    <w:p w14:paraId="383FA2F3" w14:textId="77777777" w:rsidR="003C505C" w:rsidRDefault="003C505C" w:rsidP="00490976">
      <w:pPr>
        <w:pStyle w:val="RAtesto"/>
        <w:spacing w:line="240" w:lineRule="auto"/>
        <w:rPr>
          <w:rFonts w:ascii="Arial" w:hAnsi="Arial"/>
          <w:sz w:val="22"/>
          <w:szCs w:val="22"/>
        </w:rPr>
      </w:pPr>
    </w:p>
    <w:p w14:paraId="3051B266" w14:textId="7340D3BA" w:rsidR="002374DD" w:rsidRPr="00490976" w:rsidRDefault="006C5FF5" w:rsidP="00490976">
      <w:pPr>
        <w:tabs>
          <w:tab w:val="left" w:pos="709"/>
        </w:tabs>
        <w:spacing w:after="120"/>
        <w:jc w:val="both"/>
        <w:outlineLvl w:val="0"/>
        <w:rPr>
          <w:rFonts w:ascii="Arial" w:hAnsi="Arial" w:cs="Arial"/>
          <w:b/>
          <w:color w:val="1F497D"/>
          <w:sz w:val="26"/>
          <w:szCs w:val="26"/>
        </w:rPr>
      </w:pPr>
      <w:r w:rsidRPr="00490976">
        <w:rPr>
          <w:rFonts w:ascii="Arial" w:hAnsi="Arial" w:cs="Arial"/>
          <w:b/>
          <w:color w:val="1F497D"/>
          <w:sz w:val="26"/>
          <w:szCs w:val="26"/>
        </w:rPr>
        <w:t xml:space="preserve">Più contenuto </w:t>
      </w:r>
      <w:r w:rsidR="00271F9A">
        <w:rPr>
          <w:rFonts w:ascii="Arial" w:hAnsi="Arial" w:cs="Arial"/>
          <w:b/>
          <w:color w:val="1F497D"/>
          <w:sz w:val="26"/>
          <w:szCs w:val="26"/>
        </w:rPr>
        <w:t>l’effetto pandemia su</w:t>
      </w:r>
      <w:r w:rsidRPr="00490976">
        <w:rPr>
          <w:rFonts w:ascii="Arial" w:hAnsi="Arial" w:cs="Arial"/>
          <w:b/>
          <w:color w:val="1F497D"/>
          <w:sz w:val="26"/>
          <w:szCs w:val="26"/>
        </w:rPr>
        <w:t>lle seconde nozze</w:t>
      </w:r>
    </w:p>
    <w:p w14:paraId="2035A4F0" w14:textId="3B942CF3" w:rsidR="00C955A5" w:rsidRDefault="002374DD" w:rsidP="00C76837">
      <w:pPr>
        <w:autoSpaceDE w:val="0"/>
        <w:autoSpaceDN w:val="0"/>
        <w:adjustRightInd w:val="0"/>
        <w:spacing w:after="120"/>
        <w:jc w:val="both"/>
        <w:rPr>
          <w:rFonts w:ascii="Arial" w:hAnsi="Arial" w:cs="Arial"/>
          <w:sz w:val="22"/>
          <w:szCs w:val="22"/>
        </w:rPr>
      </w:pPr>
      <w:r w:rsidRPr="001750C1">
        <w:rPr>
          <w:rFonts w:ascii="Arial" w:hAnsi="Arial" w:cs="Arial"/>
          <w:sz w:val="22"/>
          <w:szCs w:val="22"/>
        </w:rPr>
        <w:t xml:space="preserve">L’aumento dell’instabilità coniugale contribuisce alla diffusione delle seconde nozze e delle famiglie composte da almeno una persona che </w:t>
      </w:r>
      <w:r>
        <w:rPr>
          <w:rFonts w:ascii="Arial" w:hAnsi="Arial" w:cs="Arial"/>
          <w:sz w:val="22"/>
          <w:szCs w:val="22"/>
        </w:rPr>
        <w:t>abbia</w:t>
      </w:r>
      <w:r w:rsidRPr="001750C1">
        <w:rPr>
          <w:rFonts w:ascii="Arial" w:hAnsi="Arial" w:cs="Arial"/>
          <w:sz w:val="22"/>
          <w:szCs w:val="22"/>
        </w:rPr>
        <w:t xml:space="preserve"> vissuto una precedente esperienza matrimoniale, </w:t>
      </w:r>
      <w:r w:rsidR="003C505C">
        <w:rPr>
          <w:rFonts w:ascii="Arial" w:hAnsi="Arial" w:cs="Arial"/>
          <w:sz w:val="22"/>
          <w:szCs w:val="22"/>
        </w:rPr>
        <w:t xml:space="preserve">fenomeno che </w:t>
      </w:r>
      <w:r w:rsidRPr="001750C1">
        <w:rPr>
          <w:rFonts w:ascii="Arial" w:hAnsi="Arial" w:cs="Arial"/>
          <w:sz w:val="22"/>
          <w:szCs w:val="22"/>
        </w:rPr>
        <w:t>gener</w:t>
      </w:r>
      <w:r>
        <w:rPr>
          <w:rFonts w:ascii="Arial" w:hAnsi="Arial" w:cs="Arial"/>
          <w:sz w:val="22"/>
          <w:szCs w:val="22"/>
        </w:rPr>
        <w:t>a</w:t>
      </w:r>
      <w:r w:rsidR="00BA3DC6">
        <w:rPr>
          <w:rFonts w:ascii="Arial" w:hAnsi="Arial" w:cs="Arial"/>
          <w:sz w:val="22"/>
          <w:szCs w:val="22"/>
        </w:rPr>
        <w:t xml:space="preserve"> </w:t>
      </w:r>
      <w:r>
        <w:rPr>
          <w:rFonts w:ascii="Arial" w:hAnsi="Arial" w:cs="Arial"/>
          <w:sz w:val="22"/>
          <w:szCs w:val="22"/>
        </w:rPr>
        <w:t>nuove tipologie familiari. Al</w:t>
      </w:r>
      <w:r w:rsidRPr="001750C1">
        <w:rPr>
          <w:rFonts w:ascii="Arial" w:hAnsi="Arial" w:cs="Arial"/>
          <w:sz w:val="22"/>
          <w:szCs w:val="22"/>
        </w:rPr>
        <w:t xml:space="preserve"> </w:t>
      </w:r>
      <w:r>
        <w:rPr>
          <w:rFonts w:ascii="Arial" w:hAnsi="Arial" w:cs="Arial"/>
          <w:sz w:val="22"/>
          <w:szCs w:val="22"/>
        </w:rPr>
        <w:t xml:space="preserve">tendenziale </w:t>
      </w:r>
      <w:r w:rsidRPr="001750C1">
        <w:rPr>
          <w:rFonts w:ascii="Arial" w:hAnsi="Arial" w:cs="Arial"/>
          <w:sz w:val="22"/>
          <w:szCs w:val="22"/>
        </w:rPr>
        <w:t>aumento</w:t>
      </w:r>
      <w:r>
        <w:rPr>
          <w:rFonts w:ascii="Arial" w:hAnsi="Arial" w:cs="Arial"/>
          <w:sz w:val="22"/>
          <w:szCs w:val="22"/>
        </w:rPr>
        <w:t xml:space="preserve"> di questa tipologia di matrimoni</w:t>
      </w:r>
      <w:r w:rsidR="00271F9A">
        <w:rPr>
          <w:rFonts w:ascii="Arial" w:hAnsi="Arial" w:cs="Arial"/>
          <w:sz w:val="22"/>
          <w:szCs w:val="22"/>
        </w:rPr>
        <w:t>,</w:t>
      </w:r>
      <w:r>
        <w:rPr>
          <w:rFonts w:ascii="Arial" w:hAnsi="Arial" w:cs="Arial"/>
          <w:sz w:val="22"/>
          <w:szCs w:val="22"/>
        </w:rPr>
        <w:t xml:space="preserve"> registrato </w:t>
      </w:r>
      <w:r w:rsidRPr="001750C1">
        <w:rPr>
          <w:rFonts w:ascii="Arial" w:hAnsi="Arial" w:cs="Arial"/>
          <w:sz w:val="22"/>
          <w:szCs w:val="22"/>
        </w:rPr>
        <w:t>sop</w:t>
      </w:r>
      <w:r>
        <w:rPr>
          <w:rFonts w:ascii="Arial" w:hAnsi="Arial" w:cs="Arial"/>
          <w:sz w:val="22"/>
          <w:szCs w:val="22"/>
        </w:rPr>
        <w:t>rattutto nel biennio 2015-2016</w:t>
      </w:r>
      <w:r w:rsidRPr="001750C1">
        <w:rPr>
          <w:rFonts w:ascii="Arial" w:hAnsi="Arial" w:cs="Arial"/>
          <w:sz w:val="22"/>
          <w:szCs w:val="22"/>
        </w:rPr>
        <w:t xml:space="preserve"> </w:t>
      </w:r>
      <w:r>
        <w:rPr>
          <w:rFonts w:ascii="Arial" w:hAnsi="Arial" w:cs="Arial"/>
          <w:sz w:val="22"/>
          <w:szCs w:val="22"/>
        </w:rPr>
        <w:t xml:space="preserve">come conseguenza </w:t>
      </w:r>
      <w:r w:rsidRPr="001750C1">
        <w:rPr>
          <w:rFonts w:ascii="Arial" w:hAnsi="Arial" w:cs="Arial"/>
          <w:sz w:val="22"/>
          <w:szCs w:val="22"/>
        </w:rPr>
        <w:t>d</w:t>
      </w:r>
      <w:r>
        <w:rPr>
          <w:rFonts w:ascii="Arial" w:hAnsi="Arial" w:cs="Arial"/>
          <w:sz w:val="22"/>
          <w:szCs w:val="22"/>
        </w:rPr>
        <w:t>e</w:t>
      </w:r>
      <w:r w:rsidRPr="001750C1">
        <w:rPr>
          <w:rFonts w:ascii="Arial" w:hAnsi="Arial" w:cs="Arial"/>
          <w:sz w:val="22"/>
          <w:szCs w:val="22"/>
        </w:rPr>
        <w:t xml:space="preserve">ll’introduzione </w:t>
      </w:r>
      <w:r>
        <w:rPr>
          <w:rFonts w:ascii="Arial" w:hAnsi="Arial" w:cs="Arial"/>
          <w:sz w:val="22"/>
          <w:szCs w:val="22"/>
        </w:rPr>
        <w:t xml:space="preserve">nel 2015 </w:t>
      </w:r>
      <w:r w:rsidRPr="001750C1">
        <w:rPr>
          <w:rFonts w:ascii="Arial" w:hAnsi="Arial" w:cs="Arial"/>
          <w:sz w:val="22"/>
          <w:szCs w:val="22"/>
        </w:rPr>
        <w:t xml:space="preserve">del </w:t>
      </w:r>
      <w:r>
        <w:rPr>
          <w:rFonts w:ascii="Arial" w:hAnsi="Arial" w:cs="Arial"/>
          <w:sz w:val="22"/>
          <w:szCs w:val="22"/>
        </w:rPr>
        <w:t>“</w:t>
      </w:r>
      <w:r w:rsidRPr="001750C1">
        <w:rPr>
          <w:rFonts w:ascii="Arial" w:hAnsi="Arial" w:cs="Arial"/>
          <w:sz w:val="22"/>
          <w:szCs w:val="22"/>
        </w:rPr>
        <w:t>divorzio breve</w:t>
      </w:r>
      <w:r>
        <w:rPr>
          <w:rFonts w:ascii="Arial" w:hAnsi="Arial" w:cs="Arial"/>
          <w:sz w:val="22"/>
          <w:szCs w:val="22"/>
        </w:rPr>
        <w:t>”</w:t>
      </w:r>
      <w:r w:rsidR="00271F9A">
        <w:rPr>
          <w:rFonts w:ascii="Arial" w:hAnsi="Arial" w:cs="Arial"/>
          <w:sz w:val="22"/>
          <w:szCs w:val="22"/>
        </w:rPr>
        <w:t>,</w:t>
      </w:r>
      <w:r>
        <w:rPr>
          <w:rFonts w:ascii="Arial" w:hAnsi="Arial" w:cs="Arial"/>
          <w:sz w:val="22"/>
          <w:szCs w:val="22"/>
        </w:rPr>
        <w:t xml:space="preserve"> ha fatto seguito una progressiva stabilizzazione. </w:t>
      </w:r>
    </w:p>
    <w:p w14:paraId="4935D2F6" w14:textId="479883D5" w:rsidR="002374DD" w:rsidRDefault="002374DD" w:rsidP="00C76837">
      <w:pPr>
        <w:autoSpaceDE w:val="0"/>
        <w:autoSpaceDN w:val="0"/>
        <w:adjustRightInd w:val="0"/>
        <w:spacing w:after="120"/>
        <w:jc w:val="both"/>
        <w:rPr>
          <w:rFonts w:ascii="Arial" w:hAnsi="Arial" w:cs="Arial"/>
          <w:sz w:val="22"/>
          <w:szCs w:val="22"/>
        </w:rPr>
      </w:pPr>
      <w:r>
        <w:rPr>
          <w:rFonts w:ascii="Arial" w:hAnsi="Arial" w:cs="Arial"/>
          <w:sz w:val="22"/>
          <w:szCs w:val="22"/>
        </w:rPr>
        <w:t xml:space="preserve">La pandemia </w:t>
      </w:r>
      <w:r w:rsidR="00C955A5">
        <w:rPr>
          <w:rFonts w:ascii="Arial" w:hAnsi="Arial" w:cs="Arial"/>
          <w:sz w:val="22"/>
          <w:szCs w:val="22"/>
        </w:rPr>
        <w:t>ha</w:t>
      </w:r>
      <w:r>
        <w:rPr>
          <w:rFonts w:ascii="Arial" w:hAnsi="Arial" w:cs="Arial"/>
          <w:sz w:val="22"/>
          <w:szCs w:val="22"/>
        </w:rPr>
        <w:t xml:space="preserve"> colpito in maniera meno pesante i secondi matrimoni</w:t>
      </w:r>
      <w:r w:rsidR="00E04E66">
        <w:rPr>
          <w:rFonts w:ascii="Arial" w:hAnsi="Arial" w:cs="Arial"/>
          <w:sz w:val="22"/>
          <w:szCs w:val="22"/>
        </w:rPr>
        <w:t xml:space="preserve"> che</w:t>
      </w:r>
      <w:r w:rsidR="00DF6132">
        <w:rPr>
          <w:rFonts w:ascii="Arial" w:hAnsi="Arial" w:cs="Arial"/>
          <w:sz w:val="22"/>
          <w:szCs w:val="22"/>
        </w:rPr>
        <w:t>,</w:t>
      </w:r>
      <w:r>
        <w:rPr>
          <w:rFonts w:ascii="Arial" w:hAnsi="Arial" w:cs="Arial"/>
          <w:sz w:val="22"/>
          <w:szCs w:val="22"/>
        </w:rPr>
        <w:t xml:space="preserve"> </w:t>
      </w:r>
      <w:r w:rsidR="00E04E66">
        <w:rPr>
          <w:rFonts w:ascii="Arial" w:hAnsi="Arial" w:cs="Arial"/>
          <w:sz w:val="22"/>
          <w:szCs w:val="22"/>
        </w:rPr>
        <w:t>nel 2020</w:t>
      </w:r>
      <w:r w:rsidR="00DF6132">
        <w:rPr>
          <w:rFonts w:ascii="Arial" w:hAnsi="Arial" w:cs="Arial"/>
          <w:sz w:val="22"/>
          <w:szCs w:val="22"/>
        </w:rPr>
        <w:t>,</w:t>
      </w:r>
      <w:r w:rsidR="00E04E66">
        <w:rPr>
          <w:rFonts w:ascii="Arial" w:hAnsi="Arial" w:cs="Arial"/>
          <w:sz w:val="22"/>
          <w:szCs w:val="22"/>
        </w:rPr>
        <w:t xml:space="preserve"> </w:t>
      </w:r>
      <w:r>
        <w:rPr>
          <w:rFonts w:ascii="Arial" w:hAnsi="Arial" w:cs="Arial"/>
          <w:sz w:val="22"/>
          <w:szCs w:val="22"/>
        </w:rPr>
        <w:t>sono stati 27.098</w:t>
      </w:r>
      <w:r w:rsidR="00E04E66">
        <w:rPr>
          <w:rFonts w:ascii="Arial" w:hAnsi="Arial" w:cs="Arial"/>
          <w:sz w:val="22"/>
          <w:szCs w:val="22"/>
        </w:rPr>
        <w:t xml:space="preserve">, </w:t>
      </w:r>
      <w:r w:rsidR="00271F9A">
        <w:rPr>
          <w:rFonts w:ascii="Arial" w:hAnsi="Arial" w:cs="Arial"/>
          <w:sz w:val="22"/>
          <w:szCs w:val="22"/>
        </w:rPr>
        <w:t xml:space="preserve">il </w:t>
      </w:r>
      <w:r>
        <w:rPr>
          <w:rFonts w:ascii="Arial" w:hAnsi="Arial" w:cs="Arial"/>
          <w:sz w:val="22"/>
          <w:szCs w:val="22"/>
        </w:rPr>
        <w:t>28,6%</w:t>
      </w:r>
      <w:r w:rsidR="00BA7183">
        <w:rPr>
          <w:rFonts w:ascii="Arial" w:hAnsi="Arial" w:cs="Arial"/>
          <w:sz w:val="22"/>
          <w:szCs w:val="22"/>
        </w:rPr>
        <w:t xml:space="preserve"> in meno dell’anno precedente</w:t>
      </w:r>
      <w:r w:rsidR="00E04E66">
        <w:rPr>
          <w:rFonts w:ascii="Arial" w:hAnsi="Arial" w:cs="Arial"/>
          <w:sz w:val="22"/>
          <w:szCs w:val="22"/>
        </w:rPr>
        <w:t>. Ciò</w:t>
      </w:r>
      <w:r>
        <w:rPr>
          <w:rFonts w:ascii="Arial" w:hAnsi="Arial" w:cs="Arial"/>
          <w:sz w:val="22"/>
          <w:szCs w:val="22"/>
        </w:rPr>
        <w:t xml:space="preserve"> </w:t>
      </w:r>
      <w:r w:rsidR="00BA3DC6">
        <w:rPr>
          <w:rFonts w:ascii="Arial" w:hAnsi="Arial" w:cs="Arial"/>
          <w:sz w:val="22"/>
          <w:szCs w:val="22"/>
        </w:rPr>
        <w:t>ha determinato un</w:t>
      </w:r>
      <w:r>
        <w:rPr>
          <w:rFonts w:ascii="Arial" w:hAnsi="Arial" w:cs="Arial"/>
          <w:sz w:val="22"/>
          <w:szCs w:val="22"/>
        </w:rPr>
        <w:t xml:space="preserve"> aumento della quota di </w:t>
      </w:r>
      <w:r w:rsidRPr="00FD0720">
        <w:rPr>
          <w:rFonts w:ascii="Arial" w:hAnsi="Arial" w:cs="Arial"/>
          <w:sz w:val="22"/>
          <w:szCs w:val="22"/>
        </w:rPr>
        <w:t xml:space="preserve">matrimoni </w:t>
      </w:r>
      <w:r>
        <w:rPr>
          <w:rFonts w:ascii="Arial" w:hAnsi="Arial" w:cs="Arial"/>
          <w:sz w:val="22"/>
          <w:szCs w:val="22"/>
        </w:rPr>
        <w:t>con</w:t>
      </w:r>
      <w:r w:rsidRPr="00FD0720">
        <w:rPr>
          <w:rFonts w:ascii="Arial" w:hAnsi="Arial" w:cs="Arial"/>
          <w:sz w:val="22"/>
          <w:szCs w:val="22"/>
        </w:rPr>
        <w:t xml:space="preserve"> almeno uno sposo alle seconde nozze (o successive)</w:t>
      </w:r>
      <w:r w:rsidR="00C955A5">
        <w:rPr>
          <w:rFonts w:ascii="Arial" w:hAnsi="Arial" w:cs="Arial"/>
          <w:sz w:val="22"/>
          <w:szCs w:val="22"/>
        </w:rPr>
        <w:t xml:space="preserve"> che balza al </w:t>
      </w:r>
      <w:r>
        <w:rPr>
          <w:rFonts w:ascii="Arial" w:hAnsi="Arial" w:cs="Arial"/>
          <w:sz w:val="22"/>
          <w:szCs w:val="22"/>
        </w:rPr>
        <w:t xml:space="preserve">28,0% </w:t>
      </w:r>
      <w:r w:rsidR="00E04E66">
        <w:rPr>
          <w:rFonts w:ascii="Arial" w:hAnsi="Arial" w:cs="Arial"/>
          <w:sz w:val="22"/>
          <w:szCs w:val="22"/>
        </w:rPr>
        <w:t>(</w:t>
      </w:r>
      <w:r w:rsidR="00BA7183">
        <w:rPr>
          <w:rFonts w:ascii="Arial" w:hAnsi="Arial" w:cs="Arial"/>
          <w:sz w:val="22"/>
          <w:szCs w:val="22"/>
        </w:rPr>
        <w:t xml:space="preserve">dal </w:t>
      </w:r>
      <w:r>
        <w:rPr>
          <w:rFonts w:ascii="Arial" w:hAnsi="Arial" w:cs="Arial"/>
          <w:sz w:val="22"/>
          <w:szCs w:val="22"/>
        </w:rPr>
        <w:t xml:space="preserve">20,6% </w:t>
      </w:r>
      <w:r w:rsidR="00BA7183">
        <w:rPr>
          <w:rFonts w:ascii="Arial" w:hAnsi="Arial" w:cs="Arial"/>
          <w:sz w:val="22"/>
          <w:szCs w:val="22"/>
        </w:rPr>
        <w:t>d</w:t>
      </w:r>
      <w:r>
        <w:rPr>
          <w:rFonts w:ascii="Arial" w:hAnsi="Arial" w:cs="Arial"/>
          <w:sz w:val="22"/>
          <w:szCs w:val="22"/>
        </w:rPr>
        <w:t>el 2019</w:t>
      </w:r>
      <w:r w:rsidR="00E04E66">
        <w:rPr>
          <w:rFonts w:ascii="Arial" w:hAnsi="Arial" w:cs="Arial"/>
          <w:sz w:val="22"/>
          <w:szCs w:val="22"/>
        </w:rPr>
        <w:t>)</w:t>
      </w:r>
      <w:r>
        <w:rPr>
          <w:rFonts w:ascii="Arial" w:hAnsi="Arial" w:cs="Arial"/>
          <w:sz w:val="22"/>
          <w:szCs w:val="22"/>
        </w:rPr>
        <w:t>.</w:t>
      </w:r>
      <w:r w:rsidR="00E04E66">
        <w:rPr>
          <w:rFonts w:ascii="Arial" w:hAnsi="Arial" w:cs="Arial"/>
          <w:sz w:val="22"/>
          <w:szCs w:val="22"/>
        </w:rPr>
        <w:t xml:space="preserve"> </w:t>
      </w:r>
    </w:p>
    <w:p w14:paraId="6B152589" w14:textId="2BC710C0" w:rsidR="001A560C" w:rsidRPr="00C17A6F" w:rsidRDefault="001A560C" w:rsidP="00C76837">
      <w:pPr>
        <w:autoSpaceDE w:val="0"/>
        <w:autoSpaceDN w:val="0"/>
        <w:adjustRightInd w:val="0"/>
        <w:spacing w:after="120"/>
        <w:jc w:val="both"/>
        <w:rPr>
          <w:rFonts w:ascii="Arial" w:hAnsi="Arial" w:cs="Arial"/>
          <w:sz w:val="22"/>
          <w:szCs w:val="22"/>
        </w:rPr>
      </w:pPr>
      <w:r w:rsidRPr="007348B2">
        <w:rPr>
          <w:rFonts w:ascii="Arial" w:hAnsi="Arial" w:cs="Arial"/>
          <w:sz w:val="22"/>
          <w:szCs w:val="22"/>
        </w:rPr>
        <w:t>La tipologia più frequente tra i matrimoni successivi al primo è quella in cui lo sposo è divorziato e la sposa è nubile (</w:t>
      </w:r>
      <w:r w:rsidR="007F7C82">
        <w:rPr>
          <w:rFonts w:ascii="Arial" w:hAnsi="Arial" w:cs="Arial"/>
          <w:sz w:val="22"/>
          <w:szCs w:val="22"/>
        </w:rPr>
        <w:t xml:space="preserve">sono </w:t>
      </w:r>
      <w:r w:rsidR="007348B2" w:rsidRPr="007348B2">
        <w:rPr>
          <w:rFonts w:ascii="Arial" w:hAnsi="Arial" w:cs="Arial"/>
          <w:sz w:val="22"/>
          <w:szCs w:val="22"/>
        </w:rPr>
        <w:t>8.528</w:t>
      </w:r>
      <w:r w:rsidRPr="007348B2">
        <w:rPr>
          <w:rFonts w:ascii="Arial" w:hAnsi="Arial" w:cs="Arial"/>
          <w:sz w:val="22"/>
          <w:szCs w:val="22"/>
        </w:rPr>
        <w:t xml:space="preserve">, </w:t>
      </w:r>
      <w:r w:rsidR="007348B2" w:rsidRPr="007348B2">
        <w:rPr>
          <w:rFonts w:ascii="Arial" w:hAnsi="Arial" w:cs="Arial"/>
          <w:sz w:val="22"/>
          <w:szCs w:val="22"/>
        </w:rPr>
        <w:t>l’8,8%</w:t>
      </w:r>
      <w:r w:rsidRPr="007348B2">
        <w:rPr>
          <w:rFonts w:ascii="Arial" w:hAnsi="Arial" w:cs="Arial"/>
          <w:sz w:val="22"/>
          <w:szCs w:val="22"/>
        </w:rPr>
        <w:t xml:space="preserve"> dei matrimoni celebrati nel 20</w:t>
      </w:r>
      <w:r w:rsidR="007348B2" w:rsidRPr="007348B2">
        <w:rPr>
          <w:rFonts w:ascii="Arial" w:hAnsi="Arial" w:cs="Arial"/>
          <w:sz w:val="22"/>
          <w:szCs w:val="22"/>
        </w:rPr>
        <w:t>20</w:t>
      </w:r>
      <w:r w:rsidRPr="007348B2">
        <w:rPr>
          <w:rFonts w:ascii="Arial" w:hAnsi="Arial" w:cs="Arial"/>
          <w:sz w:val="22"/>
          <w:szCs w:val="22"/>
        </w:rPr>
        <w:t xml:space="preserve">); seguono le celebrazioni in cui </w:t>
      </w:r>
      <w:r w:rsidR="007348B2" w:rsidRPr="007348B2">
        <w:rPr>
          <w:rFonts w:ascii="Arial" w:hAnsi="Arial" w:cs="Arial"/>
          <w:sz w:val="22"/>
          <w:szCs w:val="22"/>
        </w:rPr>
        <w:t xml:space="preserve">entrambi gli sposi sono divorziati (8,5%) e quelle in cui </w:t>
      </w:r>
      <w:r w:rsidRPr="007348B2">
        <w:rPr>
          <w:rFonts w:ascii="Arial" w:hAnsi="Arial" w:cs="Arial"/>
          <w:sz w:val="22"/>
          <w:szCs w:val="22"/>
        </w:rPr>
        <w:t xml:space="preserve">la sposa </w:t>
      </w:r>
      <w:r w:rsidR="007348B2" w:rsidRPr="007348B2">
        <w:rPr>
          <w:rFonts w:ascii="Arial" w:hAnsi="Arial" w:cs="Arial"/>
          <w:sz w:val="22"/>
          <w:szCs w:val="22"/>
        </w:rPr>
        <w:t xml:space="preserve">è </w:t>
      </w:r>
      <w:r w:rsidRPr="007348B2">
        <w:rPr>
          <w:rFonts w:ascii="Arial" w:hAnsi="Arial" w:cs="Arial"/>
          <w:sz w:val="22"/>
          <w:szCs w:val="22"/>
        </w:rPr>
        <w:t>divorziata e lo sposo è celibe (</w:t>
      </w:r>
      <w:r w:rsidR="007348B2" w:rsidRPr="007348B2">
        <w:rPr>
          <w:rFonts w:ascii="Arial" w:hAnsi="Arial" w:cs="Arial"/>
          <w:sz w:val="22"/>
          <w:szCs w:val="22"/>
        </w:rPr>
        <w:t>7</w:t>
      </w:r>
      <w:r w:rsidRPr="007348B2">
        <w:rPr>
          <w:rFonts w:ascii="Arial" w:hAnsi="Arial" w:cs="Arial"/>
          <w:sz w:val="22"/>
          <w:szCs w:val="22"/>
        </w:rPr>
        <w:t>,</w:t>
      </w:r>
      <w:r w:rsidR="007348B2" w:rsidRPr="007348B2">
        <w:rPr>
          <w:rFonts w:ascii="Arial" w:hAnsi="Arial" w:cs="Arial"/>
          <w:sz w:val="22"/>
          <w:szCs w:val="22"/>
        </w:rPr>
        <w:t>4</w:t>
      </w:r>
      <w:r w:rsidRPr="007348B2">
        <w:rPr>
          <w:rFonts w:ascii="Arial" w:hAnsi="Arial" w:cs="Arial"/>
          <w:sz w:val="22"/>
          <w:szCs w:val="22"/>
        </w:rPr>
        <w:t>%)</w:t>
      </w:r>
      <w:r w:rsidR="00BA7183">
        <w:rPr>
          <w:rFonts w:ascii="Arial" w:hAnsi="Arial" w:cs="Arial"/>
          <w:sz w:val="22"/>
          <w:szCs w:val="22"/>
        </w:rPr>
        <w:t>.</w:t>
      </w:r>
      <w:r w:rsidR="007348B2" w:rsidRPr="007348B2">
        <w:rPr>
          <w:rFonts w:ascii="Arial" w:hAnsi="Arial" w:cs="Arial"/>
          <w:sz w:val="22"/>
          <w:szCs w:val="22"/>
        </w:rPr>
        <w:t xml:space="preserve"> </w:t>
      </w:r>
      <w:r w:rsidR="00BA7183">
        <w:rPr>
          <w:rFonts w:ascii="Arial" w:hAnsi="Arial" w:cs="Arial"/>
          <w:sz w:val="22"/>
          <w:szCs w:val="22"/>
        </w:rPr>
        <w:t>R</w:t>
      </w:r>
      <w:r w:rsidR="007348B2" w:rsidRPr="007348B2">
        <w:rPr>
          <w:rFonts w:ascii="Arial" w:hAnsi="Arial" w:cs="Arial"/>
          <w:sz w:val="22"/>
          <w:szCs w:val="22"/>
        </w:rPr>
        <w:t>ispetto al 201</w:t>
      </w:r>
      <w:r w:rsidR="00B31950">
        <w:rPr>
          <w:rFonts w:ascii="Arial" w:hAnsi="Arial" w:cs="Arial"/>
          <w:sz w:val="22"/>
          <w:szCs w:val="22"/>
        </w:rPr>
        <w:t>9 l’unica tipologia in lieve crescita è quella tra vedovi e d</w:t>
      </w:r>
      <w:r w:rsidR="00243905">
        <w:rPr>
          <w:rFonts w:ascii="Arial" w:hAnsi="Arial" w:cs="Arial"/>
          <w:sz w:val="22"/>
          <w:szCs w:val="22"/>
        </w:rPr>
        <w:t>ivorziate (+2%).</w:t>
      </w:r>
    </w:p>
    <w:p w14:paraId="5863478C" w14:textId="4CE9716F" w:rsidR="003C4CD2" w:rsidRDefault="00243905" w:rsidP="007F7C82">
      <w:pPr>
        <w:autoSpaceDE w:val="0"/>
        <w:autoSpaceDN w:val="0"/>
        <w:adjustRightInd w:val="0"/>
        <w:spacing w:after="120"/>
        <w:jc w:val="both"/>
        <w:rPr>
          <w:rFonts w:ascii="Arial" w:hAnsi="Arial" w:cs="Arial"/>
          <w:sz w:val="22"/>
          <w:szCs w:val="22"/>
        </w:rPr>
      </w:pPr>
      <w:r w:rsidRPr="001750C1">
        <w:rPr>
          <w:rFonts w:ascii="Arial" w:hAnsi="Arial" w:cs="Arial"/>
          <w:sz w:val="22"/>
          <w:szCs w:val="22"/>
        </w:rPr>
        <w:t xml:space="preserve">I matrimoni successivi al primo sono più diffusi laddove si registrano i tassi di </w:t>
      </w:r>
      <w:r w:rsidR="0092078A">
        <w:rPr>
          <w:rFonts w:ascii="Arial" w:hAnsi="Arial" w:cs="Arial"/>
          <w:sz w:val="22"/>
          <w:szCs w:val="22"/>
        </w:rPr>
        <w:t>divorzio</w:t>
      </w:r>
      <w:r w:rsidRPr="001750C1">
        <w:rPr>
          <w:rFonts w:ascii="Arial" w:hAnsi="Arial" w:cs="Arial"/>
          <w:sz w:val="22"/>
          <w:szCs w:val="22"/>
        </w:rPr>
        <w:t xml:space="preserve"> più elevati, ovvero nelle regioni del Nord e del Centro.</w:t>
      </w:r>
      <w:r w:rsidR="00FA36AC">
        <w:rPr>
          <w:rFonts w:ascii="Arial" w:hAnsi="Arial" w:cs="Arial"/>
          <w:sz w:val="22"/>
          <w:szCs w:val="22"/>
        </w:rPr>
        <w:t xml:space="preserve"> </w:t>
      </w:r>
      <w:r w:rsidR="00235A69" w:rsidRPr="001750C1">
        <w:rPr>
          <w:rFonts w:ascii="Arial" w:hAnsi="Arial" w:cs="Arial"/>
          <w:sz w:val="22"/>
          <w:szCs w:val="22"/>
        </w:rPr>
        <w:t xml:space="preserve">Le percentuali più </w:t>
      </w:r>
      <w:r w:rsidR="007F7C82">
        <w:rPr>
          <w:rFonts w:ascii="Arial" w:hAnsi="Arial" w:cs="Arial"/>
          <w:sz w:val="22"/>
          <w:szCs w:val="22"/>
        </w:rPr>
        <w:t>al</w:t>
      </w:r>
      <w:r w:rsidR="00235A69" w:rsidRPr="001750C1">
        <w:rPr>
          <w:rFonts w:ascii="Arial" w:hAnsi="Arial" w:cs="Arial"/>
          <w:sz w:val="22"/>
          <w:szCs w:val="22"/>
        </w:rPr>
        <w:t xml:space="preserve">te di matrimoni con almeno uno sposo alle seconde nozze sul totale delle celebrazioni si osservano, nell’ordine, in </w:t>
      </w:r>
      <w:r w:rsidR="00F46C8F" w:rsidRPr="001750C1">
        <w:rPr>
          <w:rFonts w:ascii="Arial" w:hAnsi="Arial" w:cs="Arial"/>
          <w:sz w:val="22"/>
          <w:szCs w:val="22"/>
        </w:rPr>
        <w:t>Valle d’Aosta</w:t>
      </w:r>
      <w:r w:rsidR="007F7C82">
        <w:rPr>
          <w:rFonts w:ascii="Arial" w:hAnsi="Arial" w:cs="Arial"/>
          <w:sz w:val="22"/>
          <w:szCs w:val="22"/>
        </w:rPr>
        <w:t>/</w:t>
      </w:r>
      <w:r w:rsidR="007F7C82" w:rsidRPr="007F7C82">
        <w:rPr>
          <w:rFonts w:ascii="Arial" w:hAnsi="Arial" w:cs="Arial"/>
          <w:sz w:val="22"/>
          <w:szCs w:val="22"/>
        </w:rPr>
        <w:t xml:space="preserve">Vallée d'Aoste </w:t>
      </w:r>
      <w:r w:rsidR="00F46C8F" w:rsidRPr="001750C1">
        <w:rPr>
          <w:rFonts w:ascii="Arial" w:hAnsi="Arial" w:cs="Arial"/>
          <w:sz w:val="22"/>
          <w:szCs w:val="22"/>
        </w:rPr>
        <w:t>(</w:t>
      </w:r>
      <w:r w:rsidR="00F46C8F">
        <w:rPr>
          <w:rFonts w:ascii="Arial" w:hAnsi="Arial" w:cs="Arial"/>
          <w:sz w:val="22"/>
          <w:szCs w:val="22"/>
        </w:rPr>
        <w:t>40</w:t>
      </w:r>
      <w:r w:rsidR="00F46C8F" w:rsidRPr="001750C1">
        <w:rPr>
          <w:rFonts w:ascii="Arial" w:hAnsi="Arial" w:cs="Arial"/>
          <w:sz w:val="22"/>
          <w:szCs w:val="22"/>
        </w:rPr>
        <w:t>,</w:t>
      </w:r>
      <w:r w:rsidR="00F46C8F">
        <w:rPr>
          <w:rFonts w:ascii="Arial" w:hAnsi="Arial" w:cs="Arial"/>
          <w:sz w:val="22"/>
          <w:szCs w:val="22"/>
        </w:rPr>
        <w:t>8</w:t>
      </w:r>
      <w:r w:rsidR="00F46C8F" w:rsidRPr="001750C1">
        <w:rPr>
          <w:rFonts w:ascii="Arial" w:hAnsi="Arial" w:cs="Arial"/>
          <w:sz w:val="22"/>
          <w:szCs w:val="22"/>
        </w:rPr>
        <w:t xml:space="preserve">%), </w:t>
      </w:r>
      <w:r w:rsidR="00235A69" w:rsidRPr="001750C1">
        <w:rPr>
          <w:rFonts w:ascii="Arial" w:hAnsi="Arial" w:cs="Arial"/>
          <w:sz w:val="22"/>
          <w:szCs w:val="22"/>
        </w:rPr>
        <w:t>Liguria (</w:t>
      </w:r>
      <w:r w:rsidR="00F46C8F">
        <w:rPr>
          <w:rFonts w:ascii="Arial" w:hAnsi="Arial" w:cs="Arial"/>
          <w:sz w:val="22"/>
          <w:szCs w:val="22"/>
        </w:rPr>
        <w:t>40</w:t>
      </w:r>
      <w:r w:rsidR="00235A69" w:rsidRPr="001750C1">
        <w:rPr>
          <w:rFonts w:ascii="Arial" w:hAnsi="Arial" w:cs="Arial"/>
          <w:sz w:val="22"/>
          <w:szCs w:val="22"/>
        </w:rPr>
        <w:t>,</w:t>
      </w:r>
      <w:r w:rsidR="00F46C8F">
        <w:rPr>
          <w:rFonts w:ascii="Arial" w:hAnsi="Arial" w:cs="Arial"/>
          <w:sz w:val="22"/>
          <w:szCs w:val="22"/>
        </w:rPr>
        <w:t>6</w:t>
      </w:r>
      <w:r w:rsidR="00235A69" w:rsidRPr="001750C1">
        <w:rPr>
          <w:rFonts w:ascii="Arial" w:hAnsi="Arial" w:cs="Arial"/>
          <w:sz w:val="22"/>
          <w:szCs w:val="22"/>
        </w:rPr>
        <w:t>%), Friuli-Venezia Giulia (3</w:t>
      </w:r>
      <w:r w:rsidR="00F46C8F">
        <w:rPr>
          <w:rFonts w:ascii="Arial" w:hAnsi="Arial" w:cs="Arial"/>
          <w:sz w:val="22"/>
          <w:szCs w:val="22"/>
        </w:rPr>
        <w:t>7</w:t>
      </w:r>
      <w:r w:rsidR="00235A69" w:rsidRPr="001750C1">
        <w:rPr>
          <w:rFonts w:ascii="Arial" w:hAnsi="Arial" w:cs="Arial"/>
          <w:sz w:val="22"/>
          <w:szCs w:val="22"/>
        </w:rPr>
        <w:t>,</w:t>
      </w:r>
      <w:r w:rsidR="00F46C8F">
        <w:rPr>
          <w:rFonts w:ascii="Arial" w:hAnsi="Arial" w:cs="Arial"/>
          <w:sz w:val="22"/>
          <w:szCs w:val="22"/>
        </w:rPr>
        <w:t xml:space="preserve">3%) </w:t>
      </w:r>
      <w:r w:rsidR="00235A69" w:rsidRPr="001750C1">
        <w:rPr>
          <w:rFonts w:ascii="Arial" w:hAnsi="Arial" w:cs="Arial"/>
          <w:sz w:val="22"/>
          <w:szCs w:val="22"/>
        </w:rPr>
        <w:t>e Piemonte (</w:t>
      </w:r>
      <w:r w:rsidR="00F46C8F">
        <w:rPr>
          <w:rFonts w:ascii="Arial" w:hAnsi="Arial" w:cs="Arial"/>
          <w:sz w:val="22"/>
          <w:szCs w:val="22"/>
        </w:rPr>
        <w:t>37,1</w:t>
      </w:r>
      <w:r w:rsidR="00235A69" w:rsidRPr="001750C1">
        <w:rPr>
          <w:rFonts w:ascii="Arial" w:hAnsi="Arial" w:cs="Arial"/>
          <w:sz w:val="22"/>
          <w:szCs w:val="22"/>
        </w:rPr>
        <w:t xml:space="preserve">%). Le incidenze più basse si rilevano, invece, in </w:t>
      </w:r>
      <w:r w:rsidR="00D422BF" w:rsidRPr="001750C1">
        <w:rPr>
          <w:rFonts w:ascii="Arial" w:hAnsi="Arial" w:cs="Arial"/>
          <w:sz w:val="22"/>
          <w:szCs w:val="22"/>
        </w:rPr>
        <w:t>Campania (1</w:t>
      </w:r>
      <w:r w:rsidR="00D422BF">
        <w:rPr>
          <w:rFonts w:ascii="Arial" w:hAnsi="Arial" w:cs="Arial"/>
          <w:sz w:val="22"/>
          <w:szCs w:val="22"/>
        </w:rPr>
        <w:t>5</w:t>
      </w:r>
      <w:r w:rsidR="00D422BF" w:rsidRPr="001750C1">
        <w:rPr>
          <w:rFonts w:ascii="Arial" w:hAnsi="Arial" w:cs="Arial"/>
          <w:sz w:val="22"/>
          <w:szCs w:val="22"/>
        </w:rPr>
        <w:t>,</w:t>
      </w:r>
      <w:r w:rsidR="00D422BF">
        <w:rPr>
          <w:rFonts w:ascii="Arial" w:hAnsi="Arial" w:cs="Arial"/>
          <w:sz w:val="22"/>
          <w:szCs w:val="22"/>
        </w:rPr>
        <w:t>3</w:t>
      </w:r>
      <w:r w:rsidR="00D422BF" w:rsidRPr="001750C1">
        <w:rPr>
          <w:rFonts w:ascii="Arial" w:hAnsi="Arial" w:cs="Arial"/>
          <w:sz w:val="22"/>
          <w:szCs w:val="22"/>
        </w:rPr>
        <w:t xml:space="preserve">%), </w:t>
      </w:r>
      <w:r w:rsidR="00235A69" w:rsidRPr="001750C1">
        <w:rPr>
          <w:rFonts w:ascii="Arial" w:hAnsi="Arial" w:cs="Arial"/>
          <w:sz w:val="22"/>
          <w:szCs w:val="22"/>
        </w:rPr>
        <w:t>Calabria (</w:t>
      </w:r>
      <w:r w:rsidR="00D422BF">
        <w:rPr>
          <w:rFonts w:ascii="Arial" w:hAnsi="Arial" w:cs="Arial"/>
          <w:sz w:val="22"/>
          <w:szCs w:val="22"/>
        </w:rPr>
        <w:t>15</w:t>
      </w:r>
      <w:r w:rsidR="00235A69" w:rsidRPr="001750C1">
        <w:rPr>
          <w:rFonts w:ascii="Arial" w:hAnsi="Arial" w:cs="Arial"/>
          <w:sz w:val="22"/>
          <w:szCs w:val="22"/>
        </w:rPr>
        <w:t>,</w:t>
      </w:r>
      <w:r w:rsidR="00D422BF">
        <w:rPr>
          <w:rFonts w:ascii="Arial" w:hAnsi="Arial" w:cs="Arial"/>
          <w:sz w:val="22"/>
          <w:szCs w:val="22"/>
        </w:rPr>
        <w:t>9</w:t>
      </w:r>
      <w:r w:rsidR="00235A69" w:rsidRPr="001750C1">
        <w:rPr>
          <w:rFonts w:ascii="Arial" w:hAnsi="Arial" w:cs="Arial"/>
          <w:sz w:val="22"/>
          <w:szCs w:val="22"/>
        </w:rPr>
        <w:t>%)</w:t>
      </w:r>
      <w:r w:rsidR="00D422BF">
        <w:rPr>
          <w:rFonts w:ascii="Arial" w:hAnsi="Arial" w:cs="Arial"/>
          <w:sz w:val="22"/>
          <w:szCs w:val="22"/>
        </w:rPr>
        <w:t>, Sicilia (16,0%) e</w:t>
      </w:r>
      <w:r w:rsidR="00235A69" w:rsidRPr="001750C1">
        <w:rPr>
          <w:rFonts w:ascii="Arial" w:hAnsi="Arial" w:cs="Arial"/>
          <w:sz w:val="22"/>
          <w:szCs w:val="22"/>
        </w:rPr>
        <w:t xml:space="preserve"> </w:t>
      </w:r>
      <w:r w:rsidR="00D422BF" w:rsidRPr="001750C1">
        <w:rPr>
          <w:rFonts w:ascii="Arial" w:hAnsi="Arial" w:cs="Arial"/>
          <w:sz w:val="22"/>
          <w:szCs w:val="22"/>
        </w:rPr>
        <w:t>Basilicata (</w:t>
      </w:r>
      <w:r w:rsidR="00D422BF">
        <w:rPr>
          <w:rFonts w:ascii="Arial" w:hAnsi="Arial" w:cs="Arial"/>
          <w:sz w:val="22"/>
          <w:szCs w:val="22"/>
        </w:rPr>
        <w:t>18</w:t>
      </w:r>
      <w:r w:rsidR="00D422BF" w:rsidRPr="001750C1">
        <w:rPr>
          <w:rFonts w:ascii="Arial" w:hAnsi="Arial" w:cs="Arial"/>
          <w:sz w:val="22"/>
          <w:szCs w:val="22"/>
        </w:rPr>
        <w:t>,</w:t>
      </w:r>
      <w:r w:rsidR="00D422BF">
        <w:rPr>
          <w:rFonts w:ascii="Arial" w:hAnsi="Arial" w:cs="Arial"/>
          <w:sz w:val="22"/>
          <w:szCs w:val="22"/>
        </w:rPr>
        <w:t>7</w:t>
      </w:r>
      <w:r>
        <w:rPr>
          <w:rFonts w:ascii="Arial" w:hAnsi="Arial" w:cs="Arial"/>
          <w:sz w:val="22"/>
          <w:szCs w:val="22"/>
        </w:rPr>
        <w:t xml:space="preserve">%) </w:t>
      </w:r>
      <w:r w:rsidR="009016A1">
        <w:rPr>
          <w:rFonts w:ascii="Arial" w:hAnsi="Arial" w:cs="Arial"/>
          <w:sz w:val="22"/>
          <w:szCs w:val="22"/>
        </w:rPr>
        <w:br/>
      </w:r>
      <w:r w:rsidR="00235A69" w:rsidRPr="001750C1">
        <w:rPr>
          <w:rFonts w:ascii="Arial" w:hAnsi="Arial" w:cs="Arial"/>
          <w:sz w:val="22"/>
          <w:szCs w:val="22"/>
        </w:rPr>
        <w:t xml:space="preserve">(Figura </w:t>
      </w:r>
      <w:r w:rsidR="003C4CD2">
        <w:rPr>
          <w:rFonts w:ascii="Arial" w:hAnsi="Arial" w:cs="Arial"/>
          <w:sz w:val="22"/>
          <w:szCs w:val="22"/>
        </w:rPr>
        <w:t>1</w:t>
      </w:r>
      <w:r w:rsidR="00235A69" w:rsidRPr="001750C1">
        <w:rPr>
          <w:rFonts w:ascii="Arial" w:hAnsi="Arial" w:cs="Arial"/>
          <w:sz w:val="22"/>
          <w:szCs w:val="22"/>
        </w:rPr>
        <w:t xml:space="preserve">). </w:t>
      </w:r>
    </w:p>
    <w:p w14:paraId="728572D9" w14:textId="50B86072" w:rsidR="00944A31" w:rsidRDefault="00944A31" w:rsidP="00C76837">
      <w:pPr>
        <w:autoSpaceDE w:val="0"/>
        <w:autoSpaceDN w:val="0"/>
        <w:adjustRightInd w:val="0"/>
        <w:spacing w:after="120"/>
        <w:jc w:val="both"/>
        <w:rPr>
          <w:rFonts w:ascii="Arial" w:hAnsi="Arial" w:cs="Arial"/>
          <w:sz w:val="22"/>
          <w:szCs w:val="22"/>
        </w:rPr>
      </w:pPr>
    </w:p>
    <w:p w14:paraId="4C58C6F0" w14:textId="45E65AFF" w:rsidR="00BA7183" w:rsidRDefault="00BA7183" w:rsidP="00C76837">
      <w:pPr>
        <w:autoSpaceDE w:val="0"/>
        <w:autoSpaceDN w:val="0"/>
        <w:adjustRightInd w:val="0"/>
        <w:spacing w:after="120"/>
        <w:jc w:val="both"/>
        <w:rPr>
          <w:rFonts w:ascii="Arial" w:hAnsi="Arial" w:cs="Arial"/>
          <w:sz w:val="22"/>
          <w:szCs w:val="22"/>
        </w:rPr>
      </w:pPr>
    </w:p>
    <w:p w14:paraId="313DD549" w14:textId="77777777" w:rsidR="00BA7183" w:rsidRDefault="00BA7183" w:rsidP="00C76837">
      <w:pPr>
        <w:autoSpaceDE w:val="0"/>
        <w:autoSpaceDN w:val="0"/>
        <w:adjustRightInd w:val="0"/>
        <w:spacing w:after="120"/>
        <w:jc w:val="both"/>
        <w:rPr>
          <w:rFonts w:ascii="Arial" w:hAnsi="Arial" w:cs="Arial"/>
          <w:sz w:val="22"/>
          <w:szCs w:val="22"/>
        </w:rPr>
      </w:pPr>
    </w:p>
    <w:p w14:paraId="0493E91E" w14:textId="77777777" w:rsidR="00944A31" w:rsidRPr="00490976" w:rsidRDefault="00944A31" w:rsidP="00C76837">
      <w:pPr>
        <w:autoSpaceDE w:val="0"/>
        <w:autoSpaceDN w:val="0"/>
        <w:adjustRightInd w:val="0"/>
        <w:spacing w:after="120"/>
        <w:jc w:val="both"/>
        <w:rPr>
          <w:rFonts w:ascii="Arial" w:hAnsi="Arial" w:cs="Arial"/>
          <w:sz w:val="32"/>
          <w:szCs w:val="32"/>
        </w:rPr>
      </w:pPr>
    </w:p>
    <w:p w14:paraId="0D9ACBE8" w14:textId="18F79172" w:rsidR="00235A69" w:rsidRPr="00122603" w:rsidRDefault="00235A69" w:rsidP="00235A69">
      <w:pPr>
        <w:rPr>
          <w:rFonts w:ascii="Arial Narrow" w:hAnsi="Arial Narrow" w:cs="Arial"/>
          <w:b/>
          <w:iCs/>
          <w:noProof/>
          <w:color w:val="1F497D" w:themeColor="text2"/>
          <w:sz w:val="22"/>
          <w:szCs w:val="22"/>
        </w:rPr>
      </w:pPr>
      <w:r w:rsidRPr="00122603">
        <w:rPr>
          <w:rFonts w:ascii="Arial Black" w:hAnsi="Arial Black" w:cs="Arial"/>
          <w:iCs/>
          <w:noProof/>
          <w:color w:val="1F497D" w:themeColor="text2"/>
          <w:sz w:val="22"/>
          <w:szCs w:val="22"/>
        </w:rPr>
        <w:t xml:space="preserve">FIGURA </w:t>
      </w:r>
      <w:r w:rsidR="00243905">
        <w:rPr>
          <w:rFonts w:ascii="Arial Black" w:hAnsi="Arial Black" w:cs="Arial"/>
          <w:iCs/>
          <w:noProof/>
          <w:color w:val="1F497D" w:themeColor="text2"/>
          <w:sz w:val="22"/>
          <w:szCs w:val="22"/>
        </w:rPr>
        <w:t>1</w:t>
      </w:r>
      <w:r w:rsidRPr="00122603">
        <w:rPr>
          <w:rFonts w:ascii="Arial Narrow" w:hAnsi="Arial Narrow" w:cs="Arial"/>
          <w:b/>
          <w:iCs/>
          <w:noProof/>
          <w:color w:val="1F497D" w:themeColor="text2"/>
          <w:sz w:val="22"/>
          <w:szCs w:val="22"/>
        </w:rPr>
        <w:t>.</w:t>
      </w:r>
      <w:r w:rsidRPr="00122603">
        <w:t xml:space="preserve"> </w:t>
      </w:r>
      <w:r w:rsidRPr="00122603">
        <w:rPr>
          <w:rFonts w:ascii="Arial Narrow" w:hAnsi="Arial Narrow" w:cs="Arial"/>
          <w:b/>
          <w:iCs/>
          <w:noProof/>
          <w:color w:val="1F497D" w:themeColor="text2"/>
          <w:sz w:val="22"/>
          <w:szCs w:val="22"/>
        </w:rPr>
        <w:t>MATRIMONI CON ALMENO UNO STRANIERO E MATRIMONI SUCCESSIVI AL PRIMO PER REGIONE</w:t>
      </w:r>
    </w:p>
    <w:p w14:paraId="068D42F9" w14:textId="4AC21F2F" w:rsidR="00235A69" w:rsidRDefault="00235A69" w:rsidP="00235A69">
      <w:pPr>
        <w:rPr>
          <w:rFonts w:ascii="Arial Narrow" w:hAnsi="Arial Narrow" w:cs="Arial"/>
          <w:b/>
          <w:iCs/>
          <w:noProof/>
          <w:color w:val="1F497D" w:themeColor="text2"/>
          <w:sz w:val="22"/>
          <w:szCs w:val="22"/>
        </w:rPr>
      </w:pPr>
      <w:r w:rsidRPr="00122603">
        <w:rPr>
          <w:rFonts w:ascii="Arial Narrow" w:hAnsi="Arial Narrow" w:cs="Arial"/>
          <w:iCs/>
          <w:noProof/>
          <w:color w:val="1F497D" w:themeColor="text2"/>
          <w:sz w:val="22"/>
          <w:szCs w:val="22"/>
        </w:rPr>
        <w:t>Anno 20</w:t>
      </w:r>
      <w:r w:rsidR="003C4CD2">
        <w:rPr>
          <w:rFonts w:ascii="Arial Narrow" w:hAnsi="Arial Narrow" w:cs="Arial"/>
          <w:iCs/>
          <w:noProof/>
          <w:color w:val="1F497D" w:themeColor="text2"/>
          <w:sz w:val="22"/>
          <w:szCs w:val="22"/>
        </w:rPr>
        <w:t>20</w:t>
      </w:r>
      <w:r w:rsidRPr="00122603">
        <w:rPr>
          <w:rFonts w:ascii="Arial Narrow" w:hAnsi="Arial Narrow" w:cs="Arial"/>
          <w:iCs/>
          <w:noProof/>
          <w:color w:val="1F497D" w:themeColor="text2"/>
          <w:sz w:val="22"/>
          <w:szCs w:val="22"/>
        </w:rPr>
        <w:t>, valori percentuali</w:t>
      </w:r>
      <w:r>
        <w:rPr>
          <w:rFonts w:ascii="Arial Narrow" w:hAnsi="Arial Narrow" w:cs="Arial"/>
          <w:b/>
          <w:iCs/>
          <w:noProof/>
          <w:color w:val="1F497D" w:themeColor="text2"/>
          <w:sz w:val="22"/>
          <w:szCs w:val="22"/>
        </w:rPr>
        <w:t xml:space="preserve"> </w:t>
      </w:r>
    </w:p>
    <w:p w14:paraId="5601F36F" w14:textId="77777777" w:rsidR="00B654BC" w:rsidRDefault="00B654BC" w:rsidP="00235A69">
      <w:pPr>
        <w:rPr>
          <w:rFonts w:ascii="Arial Narrow" w:hAnsi="Arial Narrow" w:cs="Arial"/>
          <w:iCs/>
          <w:noProof/>
          <w:color w:val="1F497D" w:themeColor="text2"/>
          <w:sz w:val="22"/>
          <w:szCs w:val="22"/>
        </w:rPr>
      </w:pPr>
    </w:p>
    <w:p w14:paraId="24A9BBB3" w14:textId="74FB0029" w:rsidR="00EA2144" w:rsidRDefault="003C4CD2" w:rsidP="00235A69">
      <w:pPr>
        <w:rPr>
          <w:rFonts w:ascii="Arial Narrow" w:hAnsi="Arial Narrow" w:cs="Arial"/>
          <w:iCs/>
          <w:noProof/>
          <w:color w:val="1F497D" w:themeColor="text2"/>
          <w:sz w:val="22"/>
          <w:szCs w:val="22"/>
        </w:rPr>
      </w:pPr>
      <w:r>
        <w:rPr>
          <w:noProof/>
        </w:rPr>
        <w:drawing>
          <wp:inline distT="0" distB="0" distL="0" distR="0" wp14:anchorId="471A7399" wp14:editId="2E42018B">
            <wp:extent cx="6300000" cy="2160000"/>
            <wp:effectExtent l="0" t="0" r="5715" b="0"/>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422638" w14:textId="77777777" w:rsidR="00EA2144" w:rsidRDefault="00EA2144">
      <w:pPr>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br w:type="page"/>
      </w:r>
    </w:p>
    <w:p w14:paraId="48440830" w14:textId="77777777" w:rsidR="00235A69" w:rsidRDefault="00235A69" w:rsidP="00490976">
      <w:pPr>
        <w:spacing w:after="120"/>
        <w:rPr>
          <w:rFonts w:ascii="Arial Narrow" w:hAnsi="Arial Narrow" w:cs="Arial"/>
          <w:iCs/>
          <w:noProof/>
          <w:color w:val="1F497D" w:themeColor="text2"/>
          <w:sz w:val="22"/>
          <w:szCs w:val="22"/>
        </w:rPr>
      </w:pPr>
    </w:p>
    <w:p w14:paraId="6BAE2EC1" w14:textId="027FAB4A" w:rsidR="00944A31" w:rsidRPr="00651ED8" w:rsidRDefault="00944A31" w:rsidP="00C76837">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 xml:space="preserve">Quasi un </w:t>
      </w:r>
      <w:r w:rsidRPr="00651ED8">
        <w:rPr>
          <w:rFonts w:ascii="Arial" w:hAnsi="Arial" w:cs="Arial"/>
          <w:b/>
          <w:color w:val="1F497D" w:themeColor="text2"/>
          <w:sz w:val="26"/>
          <w:szCs w:val="26"/>
        </w:rPr>
        <w:t>matrimoni</w:t>
      </w:r>
      <w:r>
        <w:rPr>
          <w:rFonts w:ascii="Arial" w:hAnsi="Arial" w:cs="Arial"/>
          <w:b/>
          <w:color w:val="1F497D" w:themeColor="text2"/>
          <w:sz w:val="26"/>
          <w:szCs w:val="26"/>
        </w:rPr>
        <w:t>o</w:t>
      </w:r>
      <w:r w:rsidRPr="00651ED8">
        <w:rPr>
          <w:rFonts w:ascii="Arial" w:hAnsi="Arial" w:cs="Arial"/>
          <w:b/>
          <w:color w:val="1F497D" w:themeColor="text2"/>
          <w:sz w:val="26"/>
          <w:szCs w:val="26"/>
        </w:rPr>
        <w:t xml:space="preserve"> </w:t>
      </w:r>
      <w:r>
        <w:rPr>
          <w:rFonts w:ascii="Arial" w:hAnsi="Arial" w:cs="Arial"/>
          <w:b/>
          <w:color w:val="1F497D" w:themeColor="text2"/>
          <w:sz w:val="26"/>
          <w:szCs w:val="26"/>
        </w:rPr>
        <w:t xml:space="preserve">su </w:t>
      </w:r>
      <w:r w:rsidR="007F7C82">
        <w:rPr>
          <w:rFonts w:ascii="Arial" w:hAnsi="Arial" w:cs="Arial"/>
          <w:b/>
          <w:color w:val="1F497D" w:themeColor="text2"/>
          <w:sz w:val="26"/>
          <w:szCs w:val="26"/>
        </w:rPr>
        <w:t>cinque</w:t>
      </w:r>
      <w:r>
        <w:rPr>
          <w:rFonts w:ascii="Arial" w:hAnsi="Arial" w:cs="Arial"/>
          <w:b/>
          <w:color w:val="1F497D" w:themeColor="text2"/>
          <w:sz w:val="26"/>
          <w:szCs w:val="26"/>
        </w:rPr>
        <w:t xml:space="preserve"> con</w:t>
      </w:r>
      <w:r w:rsidRPr="00651ED8">
        <w:rPr>
          <w:rFonts w:ascii="Arial" w:hAnsi="Arial" w:cs="Arial"/>
          <w:b/>
          <w:color w:val="1F497D" w:themeColor="text2"/>
          <w:sz w:val="26"/>
          <w:szCs w:val="26"/>
        </w:rPr>
        <w:t xml:space="preserve"> almeno uno sposo straniero</w:t>
      </w:r>
    </w:p>
    <w:p w14:paraId="14449DE6" w14:textId="76DAF425" w:rsidR="00944A31" w:rsidRPr="00FE649E" w:rsidRDefault="00944A31" w:rsidP="00C76837">
      <w:pPr>
        <w:autoSpaceDE w:val="0"/>
        <w:autoSpaceDN w:val="0"/>
        <w:adjustRightInd w:val="0"/>
        <w:spacing w:after="120"/>
        <w:jc w:val="both"/>
        <w:rPr>
          <w:rFonts w:ascii="Arial" w:hAnsi="Arial" w:cs="Arial"/>
          <w:sz w:val="22"/>
          <w:szCs w:val="22"/>
        </w:rPr>
      </w:pPr>
      <w:r w:rsidRPr="00BC1DEB">
        <w:rPr>
          <w:rFonts w:ascii="Arial" w:hAnsi="Arial" w:cs="Arial"/>
          <w:sz w:val="22"/>
          <w:szCs w:val="22"/>
        </w:rPr>
        <w:t>Nel 20</w:t>
      </w:r>
      <w:r>
        <w:rPr>
          <w:rFonts w:ascii="Arial" w:hAnsi="Arial" w:cs="Arial"/>
          <w:sz w:val="22"/>
          <w:szCs w:val="22"/>
        </w:rPr>
        <w:t xml:space="preserve">20 sono state celebrate </w:t>
      </w:r>
      <w:r w:rsidRPr="002A791F">
        <w:rPr>
          <w:rFonts w:ascii="Arial" w:hAnsi="Arial" w:cs="Arial"/>
          <w:sz w:val="22"/>
          <w:szCs w:val="22"/>
        </w:rPr>
        <w:t>18.832 nozze con almeno uno sposo straniero</w:t>
      </w:r>
      <w:r w:rsidRPr="00BC1DEB">
        <w:rPr>
          <w:rFonts w:ascii="Arial" w:hAnsi="Arial" w:cs="Arial"/>
          <w:sz w:val="22"/>
          <w:szCs w:val="22"/>
        </w:rPr>
        <w:t xml:space="preserve">, </w:t>
      </w:r>
      <w:r w:rsidR="007F7C82">
        <w:rPr>
          <w:rFonts w:ascii="Arial" w:hAnsi="Arial" w:cs="Arial"/>
          <w:sz w:val="22"/>
          <w:szCs w:val="22"/>
        </w:rPr>
        <w:t>in</w:t>
      </w:r>
      <w:r>
        <w:rPr>
          <w:rFonts w:ascii="Arial" w:hAnsi="Arial" w:cs="Arial"/>
          <w:sz w:val="22"/>
          <w:szCs w:val="22"/>
        </w:rPr>
        <w:t xml:space="preserve"> diminuzione del 44,9% rispetto all’anno precedente</w:t>
      </w:r>
      <w:r w:rsidRPr="00BC1DEB">
        <w:rPr>
          <w:rFonts w:ascii="Arial" w:hAnsi="Arial" w:cs="Arial"/>
          <w:sz w:val="22"/>
          <w:szCs w:val="22"/>
        </w:rPr>
        <w:t xml:space="preserve">. </w:t>
      </w:r>
      <w:r>
        <w:rPr>
          <w:rFonts w:ascii="Arial" w:hAnsi="Arial" w:cs="Arial"/>
          <w:sz w:val="22"/>
          <w:szCs w:val="22"/>
        </w:rPr>
        <w:t xml:space="preserve">Tuttavia, la quota sul totale dei matrimoni è rimasta praticamente </w:t>
      </w:r>
      <w:r w:rsidRPr="00FE649E">
        <w:rPr>
          <w:rFonts w:ascii="Arial" w:hAnsi="Arial" w:cs="Arial"/>
          <w:sz w:val="22"/>
          <w:szCs w:val="22"/>
        </w:rPr>
        <w:t xml:space="preserve">invariata: il 19,4% rispetto al 18,6% del 2019. </w:t>
      </w:r>
    </w:p>
    <w:p w14:paraId="510663B1" w14:textId="1DA16245" w:rsidR="00F5771D" w:rsidRPr="00235A69" w:rsidRDefault="00F5771D" w:rsidP="00C76837">
      <w:pPr>
        <w:autoSpaceDE w:val="0"/>
        <w:autoSpaceDN w:val="0"/>
        <w:adjustRightInd w:val="0"/>
        <w:spacing w:after="120"/>
        <w:jc w:val="both"/>
        <w:rPr>
          <w:rFonts w:ascii="Arial" w:hAnsi="Arial" w:cs="Arial"/>
          <w:sz w:val="22"/>
          <w:szCs w:val="22"/>
        </w:rPr>
      </w:pPr>
      <w:r w:rsidRPr="00FE649E">
        <w:rPr>
          <w:rFonts w:ascii="Arial" w:hAnsi="Arial" w:cs="Arial"/>
          <w:sz w:val="22"/>
          <w:szCs w:val="22"/>
        </w:rPr>
        <w:t xml:space="preserve">I matrimoni misti (in cui uno sposo è italiano e l’altro straniero) ammontano a </w:t>
      </w:r>
      <w:r w:rsidRPr="002A791F">
        <w:rPr>
          <w:rFonts w:ascii="Arial" w:hAnsi="Arial" w:cs="Arial"/>
          <w:sz w:val="22"/>
          <w:szCs w:val="22"/>
        </w:rPr>
        <w:t xml:space="preserve">oltre 14 mila </w:t>
      </w:r>
      <w:r w:rsidRPr="00FE649E">
        <w:rPr>
          <w:rFonts w:ascii="Arial" w:hAnsi="Arial" w:cs="Arial"/>
          <w:sz w:val="22"/>
          <w:szCs w:val="22"/>
        </w:rPr>
        <w:t>(circa 10</w:t>
      </w:r>
      <w:r>
        <w:rPr>
          <w:rFonts w:ascii="Arial" w:hAnsi="Arial" w:cs="Arial"/>
          <w:sz w:val="22"/>
          <w:szCs w:val="22"/>
        </w:rPr>
        <w:t xml:space="preserve"> </w:t>
      </w:r>
      <w:r w:rsidRPr="00FE649E">
        <w:rPr>
          <w:rFonts w:ascii="Arial" w:hAnsi="Arial" w:cs="Arial"/>
          <w:sz w:val="22"/>
          <w:szCs w:val="22"/>
        </w:rPr>
        <w:t xml:space="preserve">mila in meno rispetto all’anno precedente) e continuano a rappresentare la parte più consistente dei matrimoni con almeno uno sposo straniero: circa </w:t>
      </w:r>
      <w:r w:rsidR="00FC4FFE">
        <w:rPr>
          <w:rFonts w:ascii="Arial" w:hAnsi="Arial" w:cs="Arial"/>
          <w:sz w:val="22"/>
          <w:szCs w:val="22"/>
        </w:rPr>
        <w:t>otto</w:t>
      </w:r>
      <w:r w:rsidRPr="00FE649E">
        <w:rPr>
          <w:rFonts w:ascii="Arial" w:hAnsi="Arial" w:cs="Arial"/>
          <w:sz w:val="22"/>
          <w:szCs w:val="22"/>
        </w:rPr>
        <w:t xml:space="preserve"> matrimoni su 10 con almeno uno straniero sono </w:t>
      </w:r>
      <w:r>
        <w:rPr>
          <w:rFonts w:ascii="Arial" w:hAnsi="Arial" w:cs="Arial"/>
          <w:sz w:val="22"/>
          <w:szCs w:val="22"/>
        </w:rPr>
        <w:t>costituiti da</w:t>
      </w:r>
      <w:r w:rsidRPr="00FE649E">
        <w:rPr>
          <w:rFonts w:ascii="Arial" w:hAnsi="Arial" w:cs="Arial"/>
          <w:sz w:val="22"/>
          <w:szCs w:val="22"/>
        </w:rPr>
        <w:t xml:space="preserve"> coppie miste. </w:t>
      </w:r>
      <w:r>
        <w:rPr>
          <w:rFonts w:ascii="Arial" w:hAnsi="Arial" w:cs="Arial"/>
          <w:sz w:val="22"/>
          <w:szCs w:val="22"/>
        </w:rPr>
        <w:t xml:space="preserve">Oltre i tre quarti dei matrimoni misti riguardano coppie con </w:t>
      </w:r>
      <w:r w:rsidRPr="00FE649E">
        <w:rPr>
          <w:rFonts w:ascii="Arial" w:hAnsi="Arial" w:cs="Arial"/>
          <w:sz w:val="22"/>
          <w:szCs w:val="22"/>
        </w:rPr>
        <w:t>sposo italiano e sposa straniera (10.870, pari all’11,2% delle celebrazioni a livello nazionale nel 2020). Le donne italiane che hanno scelto un partner straniero sono 3.453, il 3,6% del totale delle spose.</w:t>
      </w:r>
    </w:p>
    <w:p w14:paraId="7D2B62FA" w14:textId="2664E598" w:rsidR="00F5771D" w:rsidRDefault="00F5771D" w:rsidP="00C76837">
      <w:pPr>
        <w:autoSpaceDE w:val="0"/>
        <w:autoSpaceDN w:val="0"/>
        <w:adjustRightInd w:val="0"/>
        <w:spacing w:after="120"/>
        <w:jc w:val="both"/>
        <w:rPr>
          <w:rFonts w:ascii="Arial" w:hAnsi="Arial" w:cs="Arial"/>
          <w:sz w:val="22"/>
          <w:szCs w:val="22"/>
        </w:rPr>
      </w:pPr>
      <w:r>
        <w:rPr>
          <w:rFonts w:ascii="Arial" w:hAnsi="Arial" w:cs="Arial"/>
          <w:sz w:val="22"/>
          <w:szCs w:val="22"/>
        </w:rPr>
        <w:t>Le cittadinanze coinvolte sono molto diverse a seconda della tipologia di coppia considerata.</w:t>
      </w:r>
      <w:r w:rsidR="00EE67B7">
        <w:rPr>
          <w:rFonts w:ascii="Arial" w:hAnsi="Arial" w:cs="Arial"/>
          <w:sz w:val="22"/>
          <w:szCs w:val="22"/>
        </w:rPr>
        <w:t xml:space="preserve"> </w:t>
      </w:r>
      <w:r>
        <w:rPr>
          <w:rFonts w:ascii="Arial" w:hAnsi="Arial" w:cs="Arial"/>
          <w:sz w:val="22"/>
          <w:szCs w:val="22"/>
        </w:rPr>
        <w:t>Gli uomini italiani che nel 2020</w:t>
      </w:r>
      <w:r w:rsidRPr="00DC7CBF">
        <w:rPr>
          <w:rFonts w:ascii="Arial" w:hAnsi="Arial" w:cs="Arial"/>
          <w:sz w:val="22"/>
          <w:szCs w:val="22"/>
        </w:rPr>
        <w:t xml:space="preserve"> hanno sposato una cittadina straniera hanno </w:t>
      </w:r>
      <w:r w:rsidR="007A390C" w:rsidRPr="00DC7CBF">
        <w:rPr>
          <w:rFonts w:ascii="Arial" w:hAnsi="Arial" w:cs="Arial"/>
          <w:sz w:val="22"/>
          <w:szCs w:val="22"/>
        </w:rPr>
        <w:t xml:space="preserve">una moglie rumena </w:t>
      </w:r>
      <w:r w:rsidRPr="00DC7CBF">
        <w:rPr>
          <w:rFonts w:ascii="Arial" w:hAnsi="Arial" w:cs="Arial"/>
          <w:sz w:val="22"/>
          <w:szCs w:val="22"/>
        </w:rPr>
        <w:t>nel 1</w:t>
      </w:r>
      <w:r>
        <w:rPr>
          <w:rFonts w:ascii="Arial" w:hAnsi="Arial" w:cs="Arial"/>
          <w:sz w:val="22"/>
          <w:szCs w:val="22"/>
        </w:rPr>
        <w:t>8</w:t>
      </w:r>
      <w:r w:rsidRPr="00DC7CBF">
        <w:rPr>
          <w:rFonts w:ascii="Arial" w:hAnsi="Arial" w:cs="Arial"/>
          <w:sz w:val="22"/>
          <w:szCs w:val="22"/>
        </w:rPr>
        <w:t xml:space="preserve">,0% dei casi, </w:t>
      </w:r>
      <w:r w:rsidR="007A390C" w:rsidRPr="00DC7CBF">
        <w:rPr>
          <w:rFonts w:ascii="Arial" w:hAnsi="Arial" w:cs="Arial"/>
          <w:sz w:val="22"/>
          <w:szCs w:val="22"/>
        </w:rPr>
        <w:t xml:space="preserve">ucraina </w:t>
      </w:r>
      <w:r w:rsidRPr="00DC7CBF">
        <w:rPr>
          <w:rFonts w:ascii="Arial" w:hAnsi="Arial" w:cs="Arial"/>
          <w:sz w:val="22"/>
          <w:szCs w:val="22"/>
        </w:rPr>
        <w:t>nel 14,</w:t>
      </w:r>
      <w:r>
        <w:rPr>
          <w:rFonts w:ascii="Arial" w:hAnsi="Arial" w:cs="Arial"/>
          <w:sz w:val="22"/>
          <w:szCs w:val="22"/>
        </w:rPr>
        <w:t>9</w:t>
      </w:r>
      <w:r w:rsidRPr="00DC7CBF">
        <w:rPr>
          <w:rFonts w:ascii="Arial" w:hAnsi="Arial" w:cs="Arial"/>
          <w:sz w:val="22"/>
          <w:szCs w:val="22"/>
        </w:rPr>
        <w:t xml:space="preserve">%, </w:t>
      </w:r>
      <w:r w:rsidR="007A390C">
        <w:rPr>
          <w:rFonts w:ascii="Arial" w:hAnsi="Arial" w:cs="Arial"/>
          <w:sz w:val="22"/>
          <w:szCs w:val="22"/>
        </w:rPr>
        <w:t xml:space="preserve">russa </w:t>
      </w:r>
      <w:r w:rsidR="00EE67B7">
        <w:rPr>
          <w:rFonts w:ascii="Arial" w:hAnsi="Arial" w:cs="Arial"/>
          <w:sz w:val="22"/>
          <w:szCs w:val="22"/>
        </w:rPr>
        <w:t xml:space="preserve">nel </w:t>
      </w:r>
      <w:r>
        <w:rPr>
          <w:rFonts w:ascii="Arial" w:hAnsi="Arial" w:cs="Arial"/>
          <w:sz w:val="22"/>
          <w:szCs w:val="22"/>
        </w:rPr>
        <w:t>7</w:t>
      </w:r>
      <w:r w:rsidRPr="00DC7CBF">
        <w:rPr>
          <w:rFonts w:ascii="Arial" w:hAnsi="Arial" w:cs="Arial"/>
          <w:sz w:val="22"/>
          <w:szCs w:val="22"/>
        </w:rPr>
        <w:t xml:space="preserve">,5% </w:t>
      </w:r>
      <w:r>
        <w:rPr>
          <w:rFonts w:ascii="Arial" w:hAnsi="Arial" w:cs="Arial"/>
          <w:sz w:val="22"/>
          <w:szCs w:val="22"/>
        </w:rPr>
        <w:t xml:space="preserve">e </w:t>
      </w:r>
      <w:r w:rsidR="007A390C" w:rsidRPr="00DC7CBF">
        <w:rPr>
          <w:rFonts w:ascii="Arial" w:hAnsi="Arial" w:cs="Arial"/>
          <w:sz w:val="22"/>
          <w:szCs w:val="22"/>
        </w:rPr>
        <w:t>brasiliana</w:t>
      </w:r>
      <w:r w:rsidR="007A390C">
        <w:rPr>
          <w:rFonts w:ascii="Arial" w:hAnsi="Arial" w:cs="Arial"/>
          <w:sz w:val="22"/>
          <w:szCs w:val="22"/>
        </w:rPr>
        <w:t xml:space="preserve"> </w:t>
      </w:r>
      <w:r>
        <w:rPr>
          <w:rFonts w:ascii="Arial" w:hAnsi="Arial" w:cs="Arial"/>
          <w:sz w:val="22"/>
          <w:szCs w:val="22"/>
        </w:rPr>
        <w:t>nel 5,9%</w:t>
      </w:r>
      <w:r w:rsidRPr="00DC7CBF">
        <w:rPr>
          <w:rFonts w:ascii="Arial" w:hAnsi="Arial" w:cs="Arial"/>
          <w:sz w:val="22"/>
          <w:szCs w:val="22"/>
        </w:rPr>
        <w:t xml:space="preserve">. Le donne italiane che hanno </w:t>
      </w:r>
      <w:r>
        <w:rPr>
          <w:rFonts w:ascii="Arial" w:hAnsi="Arial" w:cs="Arial"/>
          <w:sz w:val="22"/>
          <w:szCs w:val="22"/>
        </w:rPr>
        <w:t>contratto matrimonio</w:t>
      </w:r>
      <w:r w:rsidRPr="00DC7CBF">
        <w:rPr>
          <w:rFonts w:ascii="Arial" w:hAnsi="Arial" w:cs="Arial"/>
          <w:sz w:val="22"/>
          <w:szCs w:val="22"/>
        </w:rPr>
        <w:t xml:space="preserve"> </w:t>
      </w:r>
      <w:r>
        <w:rPr>
          <w:rFonts w:ascii="Arial" w:hAnsi="Arial" w:cs="Arial"/>
          <w:sz w:val="22"/>
          <w:szCs w:val="22"/>
        </w:rPr>
        <w:t xml:space="preserve">con </w:t>
      </w:r>
      <w:r w:rsidRPr="00DC7CBF">
        <w:rPr>
          <w:rFonts w:ascii="Arial" w:hAnsi="Arial" w:cs="Arial"/>
          <w:sz w:val="22"/>
          <w:szCs w:val="22"/>
        </w:rPr>
        <w:t>un cittadino straniero</w:t>
      </w:r>
      <w:r w:rsidR="007A390C">
        <w:rPr>
          <w:rFonts w:ascii="Arial" w:hAnsi="Arial" w:cs="Arial"/>
          <w:sz w:val="22"/>
          <w:szCs w:val="22"/>
        </w:rPr>
        <w:t xml:space="preserve"> </w:t>
      </w:r>
      <w:r w:rsidRPr="00DC7CBF">
        <w:rPr>
          <w:rFonts w:ascii="Arial" w:hAnsi="Arial" w:cs="Arial"/>
          <w:sz w:val="22"/>
          <w:szCs w:val="22"/>
        </w:rPr>
        <w:t>hanno</w:t>
      </w:r>
      <w:r w:rsidR="007A390C">
        <w:rPr>
          <w:rFonts w:ascii="Arial" w:hAnsi="Arial" w:cs="Arial"/>
          <w:sz w:val="22"/>
          <w:szCs w:val="22"/>
        </w:rPr>
        <w:t xml:space="preserve"> invece</w:t>
      </w:r>
      <w:r w:rsidRPr="00DC7CBF">
        <w:rPr>
          <w:rFonts w:ascii="Arial" w:hAnsi="Arial" w:cs="Arial"/>
          <w:sz w:val="22"/>
          <w:szCs w:val="22"/>
        </w:rPr>
        <w:t xml:space="preserve"> più </w:t>
      </w:r>
      <w:r w:rsidR="007A390C">
        <w:rPr>
          <w:rFonts w:ascii="Arial" w:hAnsi="Arial" w:cs="Arial"/>
          <w:sz w:val="22"/>
          <w:szCs w:val="22"/>
        </w:rPr>
        <w:t>frequentemente</w:t>
      </w:r>
      <w:r w:rsidR="007A390C" w:rsidRPr="00DC7CBF">
        <w:rPr>
          <w:rFonts w:ascii="Arial" w:hAnsi="Arial" w:cs="Arial"/>
          <w:sz w:val="22"/>
          <w:szCs w:val="22"/>
        </w:rPr>
        <w:t xml:space="preserve"> </w:t>
      </w:r>
      <w:r>
        <w:rPr>
          <w:rFonts w:ascii="Arial" w:hAnsi="Arial" w:cs="Arial"/>
          <w:sz w:val="22"/>
          <w:szCs w:val="22"/>
        </w:rPr>
        <w:t>sposi</w:t>
      </w:r>
      <w:r w:rsidRPr="00DC7CBF">
        <w:rPr>
          <w:rFonts w:ascii="Arial" w:hAnsi="Arial" w:cs="Arial"/>
          <w:sz w:val="22"/>
          <w:szCs w:val="22"/>
        </w:rPr>
        <w:t xml:space="preserve"> con cittadinanza marocchina (15</w:t>
      </w:r>
      <w:r>
        <w:rPr>
          <w:rFonts w:ascii="Arial" w:hAnsi="Arial" w:cs="Arial"/>
          <w:sz w:val="22"/>
          <w:szCs w:val="22"/>
        </w:rPr>
        <w:t>,5%) o albanese (10,6%).</w:t>
      </w:r>
    </w:p>
    <w:p w14:paraId="6D1B2B4E" w14:textId="425B60C0" w:rsidR="00A310B0" w:rsidRDefault="002374DD" w:rsidP="00C76837">
      <w:pPr>
        <w:autoSpaceDE w:val="0"/>
        <w:autoSpaceDN w:val="0"/>
        <w:adjustRightInd w:val="0"/>
        <w:spacing w:after="120"/>
        <w:jc w:val="both"/>
        <w:rPr>
          <w:rFonts w:ascii="Arial" w:hAnsi="Arial" w:cs="Arial"/>
          <w:sz w:val="22"/>
          <w:szCs w:val="22"/>
        </w:rPr>
      </w:pPr>
      <w:r w:rsidRPr="00995475">
        <w:rPr>
          <w:rFonts w:ascii="Arial" w:hAnsi="Arial" w:cs="Arial"/>
          <w:sz w:val="22"/>
          <w:szCs w:val="22"/>
        </w:rPr>
        <w:t>Il nostro Paese esercita</w:t>
      </w:r>
      <w:r>
        <w:rPr>
          <w:rFonts w:ascii="Arial" w:hAnsi="Arial" w:cs="Arial"/>
          <w:sz w:val="22"/>
          <w:szCs w:val="22"/>
        </w:rPr>
        <w:t xml:space="preserve"> </w:t>
      </w:r>
      <w:r w:rsidR="007A390C">
        <w:rPr>
          <w:rFonts w:ascii="Arial" w:hAnsi="Arial" w:cs="Arial"/>
          <w:sz w:val="22"/>
          <w:szCs w:val="22"/>
        </w:rPr>
        <w:t xml:space="preserve">poi </w:t>
      </w:r>
      <w:r w:rsidRPr="00995475">
        <w:rPr>
          <w:rFonts w:ascii="Arial" w:hAnsi="Arial" w:cs="Arial"/>
          <w:sz w:val="22"/>
          <w:szCs w:val="22"/>
        </w:rPr>
        <w:t>un</w:t>
      </w:r>
      <w:r w:rsidR="007A390C">
        <w:rPr>
          <w:rFonts w:ascii="Arial" w:hAnsi="Arial" w:cs="Arial"/>
          <w:sz w:val="22"/>
          <w:szCs w:val="22"/>
        </w:rPr>
        <w:t xml:space="preserve">a forte </w:t>
      </w:r>
      <w:r w:rsidRPr="00995475">
        <w:rPr>
          <w:rFonts w:ascii="Arial" w:hAnsi="Arial" w:cs="Arial"/>
          <w:sz w:val="22"/>
          <w:szCs w:val="22"/>
        </w:rPr>
        <w:t xml:space="preserve">attrazione per numerosi cittadini provenienti soprattutto da paesi a sviluppo avanzato che scelgono </w:t>
      </w:r>
      <w:r>
        <w:rPr>
          <w:rFonts w:ascii="Arial" w:hAnsi="Arial" w:cs="Arial"/>
          <w:sz w:val="22"/>
          <w:szCs w:val="22"/>
        </w:rPr>
        <w:t xml:space="preserve">l’Italia </w:t>
      </w:r>
      <w:r w:rsidRPr="00995475">
        <w:rPr>
          <w:rFonts w:ascii="Arial" w:hAnsi="Arial" w:cs="Arial"/>
          <w:sz w:val="22"/>
          <w:szCs w:val="22"/>
        </w:rPr>
        <w:t>come luo</w:t>
      </w:r>
      <w:r>
        <w:rPr>
          <w:rFonts w:ascii="Arial" w:hAnsi="Arial" w:cs="Arial"/>
          <w:sz w:val="22"/>
          <w:szCs w:val="22"/>
        </w:rPr>
        <w:t>go di celebrazione delle nozze. Ovviamente nel</w:t>
      </w:r>
      <w:r w:rsidR="007A390C">
        <w:rPr>
          <w:rFonts w:ascii="Arial" w:hAnsi="Arial" w:cs="Arial"/>
          <w:sz w:val="22"/>
          <w:szCs w:val="22"/>
        </w:rPr>
        <w:t xml:space="preserve"> </w:t>
      </w:r>
      <w:r>
        <w:rPr>
          <w:rFonts w:ascii="Arial" w:hAnsi="Arial" w:cs="Arial"/>
          <w:sz w:val="22"/>
          <w:szCs w:val="22"/>
        </w:rPr>
        <w:t xml:space="preserve">2020 </w:t>
      </w:r>
      <w:r w:rsidR="007A390C">
        <w:rPr>
          <w:rFonts w:ascii="Arial" w:hAnsi="Arial" w:cs="Arial"/>
          <w:sz w:val="22"/>
          <w:szCs w:val="22"/>
        </w:rPr>
        <w:t xml:space="preserve">anche questa tipologia di matrimonio (rappresentata da coppie di entrambi stranieri in cui nessuno dei due è residente) ha subito una consistente flessione </w:t>
      </w:r>
      <w:r>
        <w:rPr>
          <w:rFonts w:ascii="Arial" w:hAnsi="Arial" w:cs="Arial"/>
          <w:sz w:val="22"/>
          <w:szCs w:val="22"/>
        </w:rPr>
        <w:t>a causa delle restrizioni imposte alla mobilità internazionale</w:t>
      </w:r>
      <w:r w:rsidR="007A390C">
        <w:rPr>
          <w:rFonts w:ascii="Arial" w:hAnsi="Arial" w:cs="Arial"/>
          <w:sz w:val="22"/>
          <w:szCs w:val="22"/>
        </w:rPr>
        <w:t xml:space="preserve">, passando dai 4.094 del 2019 ai 918 del 2020 </w:t>
      </w:r>
      <w:r>
        <w:rPr>
          <w:rFonts w:ascii="Arial" w:hAnsi="Arial" w:cs="Arial"/>
          <w:sz w:val="22"/>
          <w:szCs w:val="22"/>
        </w:rPr>
        <w:t>(-77,6%).</w:t>
      </w:r>
      <w:r w:rsidR="007A390C">
        <w:rPr>
          <w:rFonts w:ascii="Arial" w:hAnsi="Arial" w:cs="Arial"/>
          <w:sz w:val="22"/>
          <w:szCs w:val="22"/>
        </w:rPr>
        <w:t xml:space="preserve"> </w:t>
      </w:r>
    </w:p>
    <w:p w14:paraId="750CFADB" w14:textId="4A55AAEB" w:rsidR="002374DD" w:rsidRDefault="009744E1" w:rsidP="00C76837">
      <w:pPr>
        <w:autoSpaceDE w:val="0"/>
        <w:autoSpaceDN w:val="0"/>
        <w:adjustRightInd w:val="0"/>
        <w:spacing w:after="120"/>
        <w:jc w:val="both"/>
        <w:rPr>
          <w:rFonts w:ascii="Arial" w:hAnsi="Arial" w:cs="Arial"/>
          <w:sz w:val="22"/>
          <w:szCs w:val="22"/>
        </w:rPr>
      </w:pPr>
      <w:r>
        <w:rPr>
          <w:rFonts w:ascii="Arial" w:hAnsi="Arial" w:cs="Arial"/>
          <w:sz w:val="22"/>
          <w:szCs w:val="22"/>
        </w:rPr>
        <w:t>Considerando solo i matrimoni di stranieri in cui almeno uno dei due sposi sia residente in Italia (depura</w:t>
      </w:r>
      <w:r w:rsidR="00EE67B7">
        <w:rPr>
          <w:rFonts w:ascii="Arial" w:hAnsi="Arial" w:cs="Arial"/>
          <w:sz w:val="22"/>
          <w:szCs w:val="22"/>
        </w:rPr>
        <w:t>ti quindi dal</w:t>
      </w:r>
      <w:r>
        <w:rPr>
          <w:rFonts w:ascii="Arial" w:hAnsi="Arial" w:cs="Arial"/>
          <w:sz w:val="22"/>
          <w:szCs w:val="22"/>
        </w:rPr>
        <w:t>l’effetto del “turismo matrimoniale”), nel 2020 sono state celebrate</w:t>
      </w:r>
      <w:r w:rsidR="002374DD">
        <w:rPr>
          <w:rFonts w:ascii="Arial" w:hAnsi="Arial" w:cs="Arial"/>
          <w:sz w:val="22"/>
          <w:szCs w:val="22"/>
        </w:rPr>
        <w:t xml:space="preserve"> 3.591</w:t>
      </w:r>
      <w:r w:rsidR="002374DD" w:rsidRPr="00B67990">
        <w:rPr>
          <w:rFonts w:ascii="Arial" w:hAnsi="Arial" w:cs="Arial"/>
          <w:sz w:val="22"/>
          <w:szCs w:val="22"/>
        </w:rPr>
        <w:t xml:space="preserve"> nozze</w:t>
      </w:r>
      <w:r w:rsidR="002374DD">
        <w:rPr>
          <w:rFonts w:ascii="Arial" w:hAnsi="Arial" w:cs="Arial"/>
          <w:sz w:val="22"/>
          <w:szCs w:val="22"/>
        </w:rPr>
        <w:t xml:space="preserve"> </w:t>
      </w:r>
      <w:r w:rsidR="00EE67B7">
        <w:rPr>
          <w:rFonts w:ascii="Arial" w:hAnsi="Arial" w:cs="Arial"/>
          <w:sz w:val="22"/>
          <w:szCs w:val="22"/>
        </w:rPr>
        <w:br/>
      </w:r>
      <w:r w:rsidR="002374DD">
        <w:rPr>
          <w:rFonts w:ascii="Arial" w:hAnsi="Arial" w:cs="Arial"/>
          <w:sz w:val="22"/>
          <w:szCs w:val="22"/>
        </w:rPr>
        <w:t>(-39,4%)</w:t>
      </w:r>
      <w:r w:rsidR="002374DD" w:rsidRPr="00B67990">
        <w:rPr>
          <w:rFonts w:ascii="Arial" w:hAnsi="Arial" w:cs="Arial"/>
          <w:sz w:val="22"/>
          <w:szCs w:val="22"/>
        </w:rPr>
        <w:t>.</w:t>
      </w:r>
      <w:r w:rsidR="00490976">
        <w:rPr>
          <w:rFonts w:ascii="Arial" w:hAnsi="Arial" w:cs="Arial"/>
          <w:sz w:val="22"/>
          <w:szCs w:val="22"/>
        </w:rPr>
        <w:t xml:space="preserve"> </w:t>
      </w:r>
      <w:r w:rsidR="00641F9F">
        <w:rPr>
          <w:rFonts w:ascii="Arial" w:hAnsi="Arial" w:cs="Arial"/>
          <w:sz w:val="22"/>
          <w:szCs w:val="22"/>
        </w:rPr>
        <w:t>I</w:t>
      </w:r>
      <w:r w:rsidR="002374DD" w:rsidRPr="00DC7CBF">
        <w:rPr>
          <w:rFonts w:ascii="Arial" w:hAnsi="Arial" w:cs="Arial"/>
          <w:sz w:val="22"/>
          <w:szCs w:val="22"/>
        </w:rPr>
        <w:t xml:space="preserve"> più diffusi sono </w:t>
      </w:r>
      <w:r w:rsidR="007A390C">
        <w:rPr>
          <w:rFonts w:ascii="Arial" w:hAnsi="Arial" w:cs="Arial"/>
          <w:sz w:val="22"/>
          <w:szCs w:val="22"/>
        </w:rPr>
        <w:t xml:space="preserve">quelli </w:t>
      </w:r>
      <w:r w:rsidR="002374DD" w:rsidRPr="00DC7CBF">
        <w:rPr>
          <w:rFonts w:ascii="Arial" w:hAnsi="Arial" w:cs="Arial"/>
          <w:sz w:val="22"/>
          <w:szCs w:val="22"/>
        </w:rPr>
        <w:t>tra</w:t>
      </w:r>
      <w:r w:rsidR="007A390C">
        <w:rPr>
          <w:rFonts w:ascii="Arial" w:hAnsi="Arial" w:cs="Arial"/>
          <w:sz w:val="22"/>
          <w:szCs w:val="22"/>
        </w:rPr>
        <w:t xml:space="preserve"> cittadini</w:t>
      </w:r>
      <w:r w:rsidR="002374DD" w:rsidRPr="00DC7CBF">
        <w:rPr>
          <w:rFonts w:ascii="Arial" w:hAnsi="Arial" w:cs="Arial"/>
          <w:sz w:val="22"/>
          <w:szCs w:val="22"/>
        </w:rPr>
        <w:t xml:space="preserve"> rumeni (</w:t>
      </w:r>
      <w:r w:rsidR="002374DD">
        <w:rPr>
          <w:rFonts w:ascii="Arial" w:hAnsi="Arial" w:cs="Arial"/>
          <w:sz w:val="22"/>
          <w:szCs w:val="22"/>
        </w:rPr>
        <w:t>859</w:t>
      </w:r>
      <w:r w:rsidR="006529D0">
        <w:rPr>
          <w:rFonts w:ascii="Arial" w:hAnsi="Arial" w:cs="Arial"/>
          <w:sz w:val="22"/>
          <w:szCs w:val="22"/>
        </w:rPr>
        <w:t xml:space="preserve"> nel 20</w:t>
      </w:r>
      <w:r w:rsidR="002374DD">
        <w:rPr>
          <w:rFonts w:ascii="Arial" w:hAnsi="Arial" w:cs="Arial"/>
          <w:sz w:val="22"/>
          <w:szCs w:val="22"/>
        </w:rPr>
        <w:t>20</w:t>
      </w:r>
      <w:r w:rsidR="002374DD" w:rsidRPr="00DC7CBF">
        <w:rPr>
          <w:rFonts w:ascii="Arial" w:hAnsi="Arial" w:cs="Arial"/>
          <w:sz w:val="22"/>
          <w:szCs w:val="22"/>
        </w:rPr>
        <w:t>, pari al 2</w:t>
      </w:r>
      <w:r w:rsidR="002374DD">
        <w:rPr>
          <w:rFonts w:ascii="Arial" w:hAnsi="Arial" w:cs="Arial"/>
          <w:sz w:val="22"/>
          <w:szCs w:val="22"/>
        </w:rPr>
        <w:t>3</w:t>
      </w:r>
      <w:r w:rsidR="002374DD" w:rsidRPr="00DC7CBF">
        <w:rPr>
          <w:rFonts w:ascii="Arial" w:hAnsi="Arial" w:cs="Arial"/>
          <w:sz w:val="22"/>
          <w:szCs w:val="22"/>
        </w:rPr>
        <w:t>,</w:t>
      </w:r>
      <w:r w:rsidR="002374DD">
        <w:rPr>
          <w:rFonts w:ascii="Arial" w:hAnsi="Arial" w:cs="Arial"/>
          <w:sz w:val="22"/>
          <w:szCs w:val="22"/>
        </w:rPr>
        <w:t>9</w:t>
      </w:r>
      <w:r w:rsidR="002374DD" w:rsidRPr="00DC7CBF">
        <w:rPr>
          <w:rFonts w:ascii="Arial" w:hAnsi="Arial" w:cs="Arial"/>
          <w:sz w:val="22"/>
          <w:szCs w:val="22"/>
        </w:rPr>
        <w:t>% dei matrimoni tra sposi stranieri residenti), nigeriani (</w:t>
      </w:r>
      <w:r w:rsidR="002374DD">
        <w:rPr>
          <w:rFonts w:ascii="Arial" w:hAnsi="Arial" w:cs="Arial"/>
          <w:sz w:val="22"/>
          <w:szCs w:val="22"/>
        </w:rPr>
        <w:t>607</w:t>
      </w:r>
      <w:r w:rsidR="007A390C">
        <w:rPr>
          <w:rFonts w:ascii="Arial" w:hAnsi="Arial" w:cs="Arial"/>
          <w:sz w:val="22"/>
          <w:szCs w:val="22"/>
        </w:rPr>
        <w:t>,</w:t>
      </w:r>
      <w:r w:rsidR="002374DD">
        <w:rPr>
          <w:rFonts w:ascii="Arial" w:hAnsi="Arial" w:cs="Arial"/>
          <w:sz w:val="22"/>
          <w:szCs w:val="22"/>
        </w:rPr>
        <w:t xml:space="preserve"> pari al</w:t>
      </w:r>
      <w:r w:rsidR="002374DD" w:rsidRPr="00DC7CBF">
        <w:rPr>
          <w:rFonts w:ascii="Arial" w:hAnsi="Arial" w:cs="Arial"/>
          <w:sz w:val="22"/>
          <w:szCs w:val="22"/>
        </w:rPr>
        <w:t xml:space="preserve"> 1</w:t>
      </w:r>
      <w:r w:rsidR="002374DD">
        <w:rPr>
          <w:rFonts w:ascii="Arial" w:hAnsi="Arial" w:cs="Arial"/>
          <w:sz w:val="22"/>
          <w:szCs w:val="22"/>
        </w:rPr>
        <w:t>6</w:t>
      </w:r>
      <w:r w:rsidR="002374DD" w:rsidRPr="00DC7CBF">
        <w:rPr>
          <w:rFonts w:ascii="Arial" w:hAnsi="Arial" w:cs="Arial"/>
          <w:sz w:val="22"/>
          <w:szCs w:val="22"/>
        </w:rPr>
        <w:t>,</w:t>
      </w:r>
      <w:r w:rsidR="002374DD">
        <w:rPr>
          <w:rFonts w:ascii="Arial" w:hAnsi="Arial" w:cs="Arial"/>
          <w:sz w:val="22"/>
          <w:szCs w:val="22"/>
        </w:rPr>
        <w:t>9</w:t>
      </w:r>
      <w:r w:rsidR="002374DD" w:rsidRPr="00DC7CBF">
        <w:rPr>
          <w:rFonts w:ascii="Arial" w:hAnsi="Arial" w:cs="Arial"/>
          <w:sz w:val="22"/>
          <w:szCs w:val="22"/>
        </w:rPr>
        <w:t>%) e ucraini (</w:t>
      </w:r>
      <w:r w:rsidR="002374DD">
        <w:rPr>
          <w:rFonts w:ascii="Arial" w:hAnsi="Arial" w:cs="Arial"/>
          <w:sz w:val="22"/>
          <w:szCs w:val="22"/>
        </w:rPr>
        <w:t>317</w:t>
      </w:r>
      <w:r w:rsidR="007A390C">
        <w:rPr>
          <w:rFonts w:ascii="Arial" w:hAnsi="Arial" w:cs="Arial"/>
          <w:sz w:val="22"/>
          <w:szCs w:val="22"/>
        </w:rPr>
        <w:t>,</w:t>
      </w:r>
      <w:r w:rsidR="002374DD" w:rsidRPr="00DC7CBF">
        <w:rPr>
          <w:rFonts w:ascii="Arial" w:hAnsi="Arial" w:cs="Arial"/>
          <w:sz w:val="22"/>
          <w:szCs w:val="22"/>
        </w:rPr>
        <w:t xml:space="preserve"> </w:t>
      </w:r>
      <w:r w:rsidR="002374DD">
        <w:rPr>
          <w:rFonts w:ascii="Arial" w:hAnsi="Arial" w:cs="Arial"/>
          <w:sz w:val="22"/>
          <w:szCs w:val="22"/>
        </w:rPr>
        <w:t xml:space="preserve">pari a </w:t>
      </w:r>
      <w:r w:rsidR="002374DD" w:rsidRPr="00DC7CBF">
        <w:rPr>
          <w:rFonts w:ascii="Arial" w:hAnsi="Arial" w:cs="Arial"/>
          <w:sz w:val="22"/>
          <w:szCs w:val="22"/>
        </w:rPr>
        <w:t>8,</w:t>
      </w:r>
      <w:r w:rsidR="002374DD">
        <w:rPr>
          <w:rFonts w:ascii="Arial" w:hAnsi="Arial" w:cs="Arial"/>
          <w:sz w:val="22"/>
          <w:szCs w:val="22"/>
        </w:rPr>
        <w:t>8%).</w:t>
      </w:r>
    </w:p>
    <w:p w14:paraId="553C32DF" w14:textId="5E580A8E" w:rsidR="001A560C" w:rsidRPr="00FD0720" w:rsidRDefault="001A560C" w:rsidP="00C76837">
      <w:pPr>
        <w:autoSpaceDE w:val="0"/>
        <w:autoSpaceDN w:val="0"/>
        <w:adjustRightInd w:val="0"/>
        <w:spacing w:after="120"/>
        <w:jc w:val="both"/>
        <w:rPr>
          <w:rFonts w:ascii="Arial" w:hAnsi="Arial" w:cs="Arial"/>
          <w:sz w:val="22"/>
          <w:szCs w:val="22"/>
        </w:rPr>
      </w:pPr>
      <w:r w:rsidRPr="00FD0720">
        <w:rPr>
          <w:rFonts w:ascii="Arial" w:hAnsi="Arial" w:cs="Arial"/>
          <w:sz w:val="22"/>
          <w:szCs w:val="22"/>
        </w:rPr>
        <w:t>Le ragioni di questi diversi comportamenti nuziali vanno ricercate, verosimilmente, nei progetti migratori e nelle caratteristiche culturali proprie delle diverse comunità</w:t>
      </w:r>
      <w:r w:rsidR="007A390C">
        <w:rPr>
          <w:rFonts w:ascii="Arial" w:hAnsi="Arial" w:cs="Arial"/>
          <w:sz w:val="22"/>
          <w:szCs w:val="22"/>
        </w:rPr>
        <w:t>,</w:t>
      </w:r>
      <w:r w:rsidRPr="00FD0720">
        <w:rPr>
          <w:rFonts w:ascii="Arial" w:hAnsi="Arial" w:cs="Arial"/>
          <w:sz w:val="22"/>
          <w:szCs w:val="22"/>
        </w:rPr>
        <w:t xml:space="preserve"> oltre che nella </w:t>
      </w:r>
      <w:r w:rsidR="00DE1677">
        <w:rPr>
          <w:rFonts w:ascii="Arial" w:hAnsi="Arial" w:cs="Arial"/>
          <w:sz w:val="22"/>
          <w:szCs w:val="22"/>
        </w:rPr>
        <w:t>prevalenza</w:t>
      </w:r>
      <w:r w:rsidR="00DE1677" w:rsidRPr="00FD0720">
        <w:rPr>
          <w:rFonts w:ascii="Arial" w:hAnsi="Arial" w:cs="Arial"/>
          <w:sz w:val="22"/>
          <w:szCs w:val="22"/>
        </w:rPr>
        <w:t xml:space="preserve"> </w:t>
      </w:r>
      <w:r w:rsidRPr="00FD0720">
        <w:rPr>
          <w:rFonts w:ascii="Arial" w:hAnsi="Arial" w:cs="Arial"/>
          <w:sz w:val="22"/>
          <w:szCs w:val="22"/>
        </w:rPr>
        <w:t>maschile o femminile che le collettività presentano. In molti casi i cittadini immigrati si sposano nel paese di origine e i coniugi affrontano insieme l’esperienza migratoria, oppure si ricongiungono nel nostro Paese quando</w:t>
      </w:r>
      <w:r>
        <w:rPr>
          <w:rFonts w:ascii="Arial" w:hAnsi="Arial" w:cs="Arial"/>
          <w:sz w:val="22"/>
          <w:szCs w:val="22"/>
        </w:rPr>
        <w:t xml:space="preserve"> uno dei due si è stabilizzato.</w:t>
      </w:r>
    </w:p>
    <w:p w14:paraId="533DDF10" w14:textId="0F79946E" w:rsidR="009421E9" w:rsidRDefault="00012616" w:rsidP="00C76837">
      <w:pPr>
        <w:autoSpaceDE w:val="0"/>
        <w:autoSpaceDN w:val="0"/>
        <w:adjustRightInd w:val="0"/>
        <w:spacing w:after="120"/>
        <w:jc w:val="both"/>
        <w:rPr>
          <w:rFonts w:ascii="Arial" w:hAnsi="Arial" w:cs="Arial"/>
          <w:sz w:val="22"/>
          <w:szCs w:val="22"/>
        </w:rPr>
      </w:pPr>
      <w:r w:rsidRPr="008C2EA3">
        <w:rPr>
          <w:rFonts w:ascii="Arial" w:hAnsi="Arial" w:cs="Arial"/>
          <w:sz w:val="22"/>
          <w:szCs w:val="22"/>
        </w:rPr>
        <w:t>La quota di matrimoni con almeno uno sposo straniero è notoriamente più elevata nelle aree in cui è più stabile e radicato l’insediamento delle comunità straniere, cioè al Nord e al Centro</w:t>
      </w:r>
      <w:r w:rsidR="009421E9" w:rsidRPr="008C2EA3">
        <w:rPr>
          <w:rFonts w:ascii="Arial" w:hAnsi="Arial" w:cs="Arial"/>
          <w:sz w:val="22"/>
          <w:szCs w:val="22"/>
        </w:rPr>
        <w:t xml:space="preserve"> (Figura 1)</w:t>
      </w:r>
      <w:r w:rsidRPr="008C2EA3">
        <w:rPr>
          <w:rFonts w:ascii="Arial" w:hAnsi="Arial" w:cs="Arial"/>
          <w:sz w:val="22"/>
          <w:szCs w:val="22"/>
        </w:rPr>
        <w:t xml:space="preserve">. In queste due aree del Paese quasi un matrimonio su quattro ha almeno uno sposo straniero mentre nel Mezzogiorno questa tipologia di matrimoni </w:t>
      </w:r>
      <w:r w:rsidR="00641F9F">
        <w:rPr>
          <w:rFonts w:ascii="Arial" w:hAnsi="Arial" w:cs="Arial"/>
          <w:sz w:val="22"/>
          <w:szCs w:val="22"/>
        </w:rPr>
        <w:t>raggiunge</w:t>
      </w:r>
      <w:r w:rsidRPr="008C2EA3">
        <w:rPr>
          <w:rFonts w:ascii="Arial" w:hAnsi="Arial" w:cs="Arial"/>
          <w:sz w:val="22"/>
          <w:szCs w:val="22"/>
        </w:rPr>
        <w:t xml:space="preserve"> </w:t>
      </w:r>
      <w:r w:rsidR="002D0AB5">
        <w:rPr>
          <w:rFonts w:ascii="Arial" w:hAnsi="Arial" w:cs="Arial"/>
          <w:sz w:val="22"/>
          <w:szCs w:val="22"/>
        </w:rPr>
        <w:t>l’</w:t>
      </w:r>
      <w:r w:rsidR="008C2EA3" w:rsidRPr="008C2EA3">
        <w:rPr>
          <w:rFonts w:ascii="Arial" w:hAnsi="Arial" w:cs="Arial"/>
          <w:sz w:val="22"/>
          <w:szCs w:val="22"/>
        </w:rPr>
        <w:t>11,3</w:t>
      </w:r>
      <w:r w:rsidRPr="008C2EA3">
        <w:rPr>
          <w:rFonts w:ascii="Arial" w:hAnsi="Arial" w:cs="Arial"/>
          <w:sz w:val="22"/>
          <w:szCs w:val="22"/>
        </w:rPr>
        <w:t xml:space="preserve">%. A livello regionale in cima alla graduatoria vi sono </w:t>
      </w:r>
      <w:r w:rsidR="008C2EA3">
        <w:rPr>
          <w:rFonts w:ascii="Arial" w:hAnsi="Arial" w:cs="Arial"/>
          <w:sz w:val="22"/>
          <w:szCs w:val="22"/>
        </w:rPr>
        <w:t xml:space="preserve">Umbria (25,8%), </w:t>
      </w:r>
      <w:r w:rsidR="009421E9" w:rsidRPr="008C2EA3">
        <w:rPr>
          <w:rFonts w:ascii="Arial" w:hAnsi="Arial" w:cs="Arial"/>
          <w:sz w:val="22"/>
          <w:szCs w:val="22"/>
        </w:rPr>
        <w:t>Lombardia (25,2%), Emilia-Romagna (25,1%) e Marche (24,8%)</w:t>
      </w:r>
      <w:r w:rsidRPr="008C2EA3">
        <w:rPr>
          <w:rFonts w:ascii="Arial" w:hAnsi="Arial" w:cs="Arial"/>
          <w:sz w:val="22"/>
          <w:szCs w:val="22"/>
        </w:rPr>
        <w:t>.</w:t>
      </w:r>
    </w:p>
    <w:p w14:paraId="22F9B6AB" w14:textId="77777777" w:rsidR="002A791F" w:rsidRPr="00490976" w:rsidRDefault="002A791F" w:rsidP="00C76837">
      <w:pPr>
        <w:autoSpaceDE w:val="0"/>
        <w:autoSpaceDN w:val="0"/>
        <w:adjustRightInd w:val="0"/>
        <w:spacing w:after="120"/>
        <w:jc w:val="both"/>
        <w:rPr>
          <w:rFonts w:ascii="Arial" w:hAnsi="Arial" w:cs="Arial"/>
          <w:sz w:val="44"/>
          <w:szCs w:val="44"/>
        </w:rPr>
      </w:pPr>
    </w:p>
    <w:p w14:paraId="38539381" w14:textId="2054B029" w:rsidR="00F44339" w:rsidRDefault="00126FF0" w:rsidP="00126FF0">
      <w:pPr>
        <w:rPr>
          <w:rFonts w:ascii="Arial Narrow" w:hAnsi="Arial Narrow" w:cs="Arial"/>
          <w:iCs/>
          <w:noProof/>
          <w:color w:val="1F497D" w:themeColor="text2"/>
          <w:sz w:val="22"/>
          <w:szCs w:val="22"/>
        </w:rPr>
      </w:pPr>
      <w:r w:rsidRPr="00014D02">
        <w:rPr>
          <w:rFonts w:ascii="Arial Black" w:hAnsi="Arial Black" w:cs="Arial"/>
          <w:iCs/>
          <w:noProof/>
          <w:color w:val="1F497D" w:themeColor="text2"/>
          <w:sz w:val="22"/>
          <w:szCs w:val="22"/>
        </w:rPr>
        <w:t xml:space="preserve">FIGURA </w:t>
      </w:r>
      <w:r w:rsidR="007B5937">
        <w:rPr>
          <w:rFonts w:ascii="Arial Black" w:hAnsi="Arial Black" w:cs="Arial"/>
          <w:iCs/>
          <w:noProof/>
          <w:color w:val="1F497D" w:themeColor="text2"/>
          <w:sz w:val="22"/>
          <w:szCs w:val="22"/>
        </w:rPr>
        <w:t>2</w:t>
      </w:r>
      <w:r w:rsidRPr="00014D02">
        <w:rPr>
          <w:rFonts w:ascii="Arial Black" w:hAnsi="Arial Black" w:cs="Arial"/>
          <w:iCs/>
          <w:noProof/>
          <w:color w:val="1F497D" w:themeColor="text2"/>
          <w:sz w:val="22"/>
          <w:szCs w:val="22"/>
        </w:rPr>
        <w:t>.</w:t>
      </w:r>
      <w:r w:rsidRPr="00014D02">
        <w:rPr>
          <w:rFonts w:ascii="Arial Narrow" w:hAnsi="Arial Narrow" w:cs="Arial"/>
          <w:b/>
          <w:iCs/>
          <w:noProof/>
          <w:color w:val="1F497D" w:themeColor="text2"/>
          <w:sz w:val="22"/>
          <w:szCs w:val="22"/>
        </w:rPr>
        <w:t xml:space="preserve"> PRIMI MATRIMONI CIVILI DI SPOSI ENTRAMBI ITALIANI PER RIPARTIZIONE DI RESIDENZA DELLA SPOSA. </w:t>
      </w:r>
      <w:r w:rsidRPr="00014D02">
        <w:rPr>
          <w:rFonts w:ascii="Arial Narrow" w:hAnsi="Arial Narrow" w:cs="Arial"/>
          <w:iCs/>
          <w:noProof/>
          <w:color w:val="1F497D" w:themeColor="text2"/>
          <w:sz w:val="22"/>
          <w:szCs w:val="22"/>
        </w:rPr>
        <w:t xml:space="preserve">Anni </w:t>
      </w:r>
      <w:r w:rsidR="007B5937">
        <w:rPr>
          <w:rFonts w:ascii="Arial Narrow" w:hAnsi="Arial Narrow" w:cs="Arial"/>
          <w:iCs/>
          <w:noProof/>
          <w:color w:val="1F497D" w:themeColor="text2"/>
          <w:sz w:val="22"/>
          <w:szCs w:val="22"/>
        </w:rPr>
        <w:t>2008-2020</w:t>
      </w:r>
      <w:r w:rsidRPr="00014D02">
        <w:rPr>
          <w:rFonts w:ascii="Arial Narrow" w:hAnsi="Arial Narrow" w:cs="Arial"/>
          <w:iCs/>
          <w:noProof/>
          <w:color w:val="1F497D" w:themeColor="text2"/>
          <w:sz w:val="22"/>
          <w:szCs w:val="22"/>
        </w:rPr>
        <w:t>, valori percentuali</w:t>
      </w:r>
    </w:p>
    <w:p w14:paraId="72C98C39" w14:textId="77777777" w:rsidR="00B06F5E" w:rsidRDefault="00B06F5E" w:rsidP="00126FF0">
      <w:pPr>
        <w:rPr>
          <w:rFonts w:ascii="Arial Narrow" w:hAnsi="Arial Narrow" w:cs="Arial"/>
          <w:iCs/>
          <w:noProof/>
          <w:color w:val="1F497D" w:themeColor="text2"/>
          <w:sz w:val="22"/>
          <w:szCs w:val="22"/>
        </w:rPr>
      </w:pPr>
    </w:p>
    <w:p w14:paraId="446F79DC" w14:textId="65784EF8" w:rsidR="00126FF0" w:rsidRDefault="007B5937" w:rsidP="00126FF0">
      <w:pPr>
        <w:rPr>
          <w:rFonts w:ascii="Arial Narrow" w:hAnsi="Arial Narrow" w:cs="Arial"/>
          <w:iCs/>
          <w:noProof/>
          <w:color w:val="1F497D" w:themeColor="text2"/>
          <w:sz w:val="22"/>
          <w:szCs w:val="22"/>
        </w:rPr>
      </w:pPr>
      <w:r>
        <w:rPr>
          <w:noProof/>
        </w:rPr>
        <w:drawing>
          <wp:inline distT="0" distB="0" distL="0" distR="0" wp14:anchorId="537A714F" wp14:editId="475311CF">
            <wp:extent cx="6170212" cy="1781092"/>
            <wp:effectExtent l="0" t="0" r="2540" b="0"/>
            <wp:docPr id="42" name="Gra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1633FA" w14:textId="31AA048E" w:rsidR="00EA2144" w:rsidRDefault="00EA2144">
      <w:pPr>
        <w:rPr>
          <w:rFonts w:ascii="Arial" w:hAnsi="Arial" w:cs="Arial"/>
          <w:sz w:val="22"/>
          <w:szCs w:val="22"/>
        </w:rPr>
      </w:pPr>
      <w:r>
        <w:rPr>
          <w:rFonts w:ascii="Arial" w:hAnsi="Arial" w:cs="Arial"/>
          <w:sz w:val="22"/>
          <w:szCs w:val="22"/>
        </w:rPr>
        <w:br w:type="page"/>
      </w:r>
    </w:p>
    <w:p w14:paraId="627D883C" w14:textId="77777777" w:rsidR="00126FF0" w:rsidRDefault="00126FF0" w:rsidP="00C76837">
      <w:pPr>
        <w:spacing w:after="120"/>
        <w:jc w:val="both"/>
        <w:outlineLvl w:val="0"/>
        <w:rPr>
          <w:rFonts w:ascii="Arial" w:hAnsi="Arial" w:cs="Arial"/>
          <w:sz w:val="22"/>
          <w:szCs w:val="22"/>
        </w:rPr>
      </w:pPr>
    </w:p>
    <w:p w14:paraId="43C7238E" w14:textId="3CECBBAF" w:rsidR="00F5771D" w:rsidRPr="00E566FC" w:rsidRDefault="00F5771D" w:rsidP="00C76837">
      <w:pPr>
        <w:spacing w:after="120"/>
        <w:rPr>
          <w:rFonts w:ascii="Arial Narrow" w:hAnsi="Arial Narrow" w:cs="Arial"/>
          <w:iCs/>
          <w:noProof/>
          <w:color w:val="1F497D" w:themeColor="text2"/>
          <w:sz w:val="22"/>
          <w:szCs w:val="22"/>
        </w:rPr>
      </w:pPr>
      <w:r w:rsidRPr="002374DD">
        <w:rPr>
          <w:rFonts w:ascii="Arial" w:hAnsi="Arial" w:cs="Arial"/>
          <w:b/>
          <w:color w:val="1F497D" w:themeColor="text2"/>
          <w:sz w:val="26"/>
          <w:szCs w:val="26"/>
        </w:rPr>
        <w:t>Con rito civile più di due nozze su tre</w:t>
      </w:r>
      <w:r w:rsidRPr="00E566FC">
        <w:rPr>
          <w:rFonts w:ascii="Arial" w:hAnsi="Arial" w:cs="Arial"/>
          <w:b/>
          <w:color w:val="1F497D" w:themeColor="text2"/>
          <w:sz w:val="26"/>
          <w:szCs w:val="26"/>
        </w:rPr>
        <w:t xml:space="preserve"> </w:t>
      </w:r>
    </w:p>
    <w:p w14:paraId="49ABCB2A" w14:textId="4423EEA9" w:rsidR="00F5771D" w:rsidRDefault="00F5771D" w:rsidP="00490976">
      <w:pPr>
        <w:pStyle w:val="RAtesto"/>
        <w:spacing w:line="240" w:lineRule="auto"/>
        <w:rPr>
          <w:rFonts w:ascii="Arial" w:hAnsi="Arial"/>
          <w:sz w:val="22"/>
          <w:szCs w:val="22"/>
        </w:rPr>
      </w:pPr>
      <w:r w:rsidRPr="002374DD">
        <w:rPr>
          <w:rFonts w:ascii="Arial" w:hAnsi="Arial"/>
          <w:sz w:val="22"/>
          <w:szCs w:val="22"/>
        </w:rPr>
        <w:t xml:space="preserve">Le misure di contenimento dell’emergenza sanitaria hanno determinato un calo verticale soprattutto dei matrimoni celebrati con rito religioso </w:t>
      </w:r>
      <w:r w:rsidR="00631A8C">
        <w:rPr>
          <w:rFonts w:ascii="Arial" w:hAnsi="Arial"/>
          <w:sz w:val="22"/>
          <w:szCs w:val="22"/>
        </w:rPr>
        <w:t>c</w:t>
      </w:r>
      <w:r w:rsidR="00135424">
        <w:rPr>
          <w:rFonts w:ascii="Arial" w:hAnsi="Arial"/>
          <w:sz w:val="22"/>
          <w:szCs w:val="22"/>
        </w:rPr>
        <w:t xml:space="preserve">he risulta </w:t>
      </w:r>
      <w:r w:rsidRPr="002374DD">
        <w:rPr>
          <w:rFonts w:ascii="Arial" w:hAnsi="Arial"/>
          <w:sz w:val="22"/>
          <w:szCs w:val="22"/>
        </w:rPr>
        <w:t>più che doppi</w:t>
      </w:r>
      <w:r w:rsidR="00135424">
        <w:rPr>
          <w:rFonts w:ascii="Arial" w:hAnsi="Arial"/>
          <w:sz w:val="22"/>
          <w:szCs w:val="22"/>
        </w:rPr>
        <w:t>o</w:t>
      </w:r>
      <w:r>
        <w:rPr>
          <w:rFonts w:ascii="Arial" w:hAnsi="Arial"/>
          <w:sz w:val="22"/>
          <w:szCs w:val="22"/>
        </w:rPr>
        <w:t xml:space="preserve"> </w:t>
      </w:r>
      <w:r w:rsidRPr="002374DD">
        <w:rPr>
          <w:rFonts w:ascii="Arial" w:hAnsi="Arial"/>
          <w:sz w:val="22"/>
          <w:szCs w:val="22"/>
        </w:rPr>
        <w:t xml:space="preserve">rispetto a </w:t>
      </w:r>
      <w:r w:rsidR="00E9254D">
        <w:rPr>
          <w:rFonts w:ascii="Arial" w:hAnsi="Arial"/>
          <w:sz w:val="22"/>
          <w:szCs w:val="22"/>
        </w:rPr>
        <w:t>quello</w:t>
      </w:r>
      <w:r w:rsidR="00490976">
        <w:rPr>
          <w:rFonts w:ascii="Arial" w:hAnsi="Arial"/>
          <w:sz w:val="22"/>
          <w:szCs w:val="22"/>
        </w:rPr>
        <w:t xml:space="preserve"> </w:t>
      </w:r>
      <w:r w:rsidR="00E9254D">
        <w:rPr>
          <w:rFonts w:ascii="Arial" w:hAnsi="Arial"/>
          <w:sz w:val="22"/>
          <w:szCs w:val="22"/>
        </w:rPr>
        <w:t>dei matrimoni</w:t>
      </w:r>
      <w:r w:rsidR="00490976">
        <w:rPr>
          <w:rFonts w:ascii="Arial" w:hAnsi="Arial"/>
          <w:sz w:val="22"/>
          <w:szCs w:val="22"/>
        </w:rPr>
        <w:t xml:space="preserve"> </w:t>
      </w:r>
      <w:r w:rsidR="00E9254D">
        <w:rPr>
          <w:rFonts w:ascii="Arial" w:hAnsi="Arial"/>
          <w:sz w:val="22"/>
          <w:szCs w:val="22"/>
        </w:rPr>
        <w:t>civili</w:t>
      </w:r>
      <w:r w:rsidRPr="002374DD">
        <w:rPr>
          <w:rFonts w:ascii="Arial" w:hAnsi="Arial"/>
          <w:sz w:val="22"/>
          <w:szCs w:val="22"/>
        </w:rPr>
        <w:t xml:space="preserve"> </w:t>
      </w:r>
      <w:r w:rsidR="005764AF">
        <w:rPr>
          <w:rFonts w:ascii="Arial" w:hAnsi="Arial"/>
          <w:sz w:val="22"/>
          <w:szCs w:val="22"/>
        </w:rPr>
        <w:br/>
      </w:r>
      <w:r w:rsidRPr="002374DD">
        <w:rPr>
          <w:rFonts w:ascii="Arial" w:hAnsi="Arial"/>
          <w:sz w:val="22"/>
          <w:szCs w:val="22"/>
        </w:rPr>
        <w:t>(</w:t>
      </w:r>
      <w:r w:rsidR="00135424">
        <w:rPr>
          <w:rFonts w:ascii="Arial" w:hAnsi="Arial"/>
          <w:sz w:val="22"/>
          <w:szCs w:val="22"/>
        </w:rPr>
        <w:t xml:space="preserve">-67,9% contro </w:t>
      </w:r>
      <w:r w:rsidRPr="002374DD">
        <w:rPr>
          <w:rFonts w:ascii="Arial" w:hAnsi="Arial"/>
          <w:sz w:val="22"/>
          <w:szCs w:val="22"/>
        </w:rPr>
        <w:t>-28,9%)</w:t>
      </w:r>
      <w:r w:rsidR="00135424">
        <w:rPr>
          <w:rFonts w:ascii="Arial" w:hAnsi="Arial"/>
          <w:sz w:val="22"/>
          <w:szCs w:val="22"/>
        </w:rPr>
        <w:t>. Per questi ultimi si tratta del</w:t>
      </w:r>
      <w:r w:rsidRPr="00AF7ED2">
        <w:rPr>
          <w:rFonts w:ascii="Arial" w:hAnsi="Arial"/>
          <w:sz w:val="22"/>
          <w:szCs w:val="22"/>
        </w:rPr>
        <w:t>la prima eccezionale battuta d’arresto dopo una fase di continua crescita. Tale squilibrio</w:t>
      </w:r>
      <w:r w:rsidRPr="002374DD">
        <w:rPr>
          <w:rFonts w:ascii="Arial" w:hAnsi="Arial"/>
          <w:sz w:val="22"/>
          <w:szCs w:val="22"/>
        </w:rPr>
        <w:t xml:space="preserve"> ha modificato l’incidenza dei matrimoni celebrati con rito civile, dal 52,6% del 2019 al 71,1% </w:t>
      </w:r>
      <w:r>
        <w:rPr>
          <w:rFonts w:ascii="Arial" w:hAnsi="Arial"/>
          <w:sz w:val="22"/>
          <w:szCs w:val="22"/>
        </w:rPr>
        <w:t>d</w:t>
      </w:r>
      <w:r w:rsidRPr="002374DD">
        <w:rPr>
          <w:rFonts w:ascii="Arial" w:hAnsi="Arial"/>
          <w:sz w:val="22"/>
          <w:szCs w:val="22"/>
        </w:rPr>
        <w:t>el 2020 (era il 2,3% del totale dei matrimoni nel 1970, il 36,7% nel 2008).</w:t>
      </w:r>
    </w:p>
    <w:p w14:paraId="5E9DD629" w14:textId="477BD13E" w:rsidR="00F5771D" w:rsidRDefault="00F5771D" w:rsidP="00C76837">
      <w:pPr>
        <w:spacing w:after="120"/>
        <w:jc w:val="both"/>
        <w:outlineLvl w:val="0"/>
        <w:rPr>
          <w:rFonts w:ascii="Arial" w:hAnsi="Arial" w:cs="Arial"/>
          <w:sz w:val="22"/>
          <w:szCs w:val="22"/>
        </w:rPr>
      </w:pPr>
      <w:r w:rsidRPr="000962ED">
        <w:rPr>
          <w:rFonts w:ascii="Arial" w:hAnsi="Arial" w:cs="Arial"/>
          <w:sz w:val="22"/>
          <w:szCs w:val="22"/>
        </w:rPr>
        <w:t>Il rito civile è decisamente più diffuso nelle seconde nozze</w:t>
      </w:r>
      <w:r w:rsidR="00DE4BC2">
        <w:rPr>
          <w:rFonts w:ascii="Arial" w:hAnsi="Arial" w:cs="Arial"/>
          <w:sz w:val="22"/>
          <w:szCs w:val="22"/>
        </w:rPr>
        <w:t xml:space="preserve"> </w:t>
      </w:r>
      <w:r w:rsidRPr="000962ED">
        <w:rPr>
          <w:rFonts w:ascii="Arial" w:hAnsi="Arial" w:cs="Arial"/>
          <w:sz w:val="22"/>
          <w:szCs w:val="22"/>
        </w:rPr>
        <w:t>(96,7%), essendo in molti casi una scelta obbligata</w:t>
      </w:r>
      <w:r w:rsidR="00DE4BC2">
        <w:rPr>
          <w:rFonts w:ascii="Arial" w:hAnsi="Arial" w:cs="Arial"/>
          <w:sz w:val="22"/>
          <w:szCs w:val="22"/>
        </w:rPr>
        <w:t xml:space="preserve"> </w:t>
      </w:r>
      <w:r w:rsidR="00DE4BC2">
        <w:rPr>
          <w:rStyle w:val="Rimandonotadichiusura"/>
          <w:rFonts w:ascii="Arial" w:hAnsi="Arial" w:cs="Arial"/>
          <w:sz w:val="22"/>
          <w:szCs w:val="22"/>
        </w:rPr>
        <w:endnoteReference w:id="4"/>
      </w:r>
      <w:r w:rsidRPr="000962ED">
        <w:rPr>
          <w:rFonts w:ascii="Arial" w:hAnsi="Arial" w:cs="Arial"/>
          <w:sz w:val="22"/>
          <w:szCs w:val="22"/>
        </w:rPr>
        <w:t>, e nei matrimoni con almeno uno sposo straniero (95,4% rispetto al 65,2% dei matrimoni di entrambi italiani).</w:t>
      </w:r>
      <w:r w:rsidRPr="00E566FC">
        <w:rPr>
          <w:rFonts w:ascii="Arial" w:hAnsi="Arial"/>
          <w:sz w:val="22"/>
          <w:szCs w:val="22"/>
        </w:rPr>
        <w:t xml:space="preserve"> </w:t>
      </w:r>
      <w:r w:rsidR="005764AF">
        <w:rPr>
          <w:rFonts w:ascii="Arial" w:hAnsi="Arial" w:cs="Arial"/>
          <w:sz w:val="22"/>
          <w:szCs w:val="22"/>
        </w:rPr>
        <w:t>S</w:t>
      </w:r>
      <w:r>
        <w:rPr>
          <w:rFonts w:ascii="Arial" w:hAnsi="Arial" w:cs="Arial"/>
          <w:sz w:val="22"/>
          <w:szCs w:val="22"/>
        </w:rPr>
        <w:t>i è diffusa sempre più</w:t>
      </w:r>
      <w:r w:rsidRPr="007D5A0C">
        <w:rPr>
          <w:rFonts w:ascii="Arial" w:hAnsi="Arial" w:cs="Arial"/>
          <w:sz w:val="22"/>
          <w:szCs w:val="22"/>
        </w:rPr>
        <w:t xml:space="preserve"> anche ne</w:t>
      </w:r>
      <w:r>
        <w:rPr>
          <w:rFonts w:ascii="Arial" w:hAnsi="Arial" w:cs="Arial"/>
          <w:sz w:val="22"/>
          <w:szCs w:val="22"/>
        </w:rPr>
        <w:t>l caso dei</w:t>
      </w:r>
      <w:r w:rsidRPr="007D5A0C">
        <w:rPr>
          <w:rFonts w:ascii="Arial" w:hAnsi="Arial" w:cs="Arial"/>
          <w:sz w:val="22"/>
          <w:szCs w:val="22"/>
        </w:rPr>
        <w:t xml:space="preserve"> pri</w:t>
      </w:r>
      <w:r>
        <w:rPr>
          <w:rFonts w:ascii="Arial" w:hAnsi="Arial" w:cs="Arial"/>
          <w:sz w:val="22"/>
          <w:szCs w:val="22"/>
        </w:rPr>
        <w:t>mi matrimoni</w:t>
      </w:r>
      <w:r w:rsidR="005764AF">
        <w:rPr>
          <w:rFonts w:ascii="Arial" w:hAnsi="Arial" w:cs="Arial"/>
          <w:sz w:val="22"/>
          <w:szCs w:val="22"/>
        </w:rPr>
        <w:t xml:space="preserve"> l</w:t>
      </w:r>
      <w:r w:rsidR="005764AF" w:rsidRPr="007D5A0C">
        <w:rPr>
          <w:rFonts w:ascii="Arial" w:hAnsi="Arial" w:cs="Arial"/>
          <w:sz w:val="22"/>
          <w:szCs w:val="22"/>
        </w:rPr>
        <w:t xml:space="preserve">a scelta </w:t>
      </w:r>
      <w:r w:rsidR="005764AF">
        <w:rPr>
          <w:rFonts w:ascii="Arial" w:hAnsi="Arial" w:cs="Arial"/>
          <w:sz w:val="22"/>
          <w:szCs w:val="22"/>
        </w:rPr>
        <w:t>del</w:t>
      </w:r>
      <w:r w:rsidR="005764AF" w:rsidRPr="007D5A0C">
        <w:rPr>
          <w:rFonts w:ascii="Arial" w:hAnsi="Arial" w:cs="Arial"/>
          <w:sz w:val="22"/>
          <w:szCs w:val="22"/>
        </w:rPr>
        <w:t xml:space="preserve"> rito civile </w:t>
      </w:r>
      <w:r w:rsidR="005764AF">
        <w:rPr>
          <w:rFonts w:ascii="Arial" w:hAnsi="Arial" w:cs="Arial"/>
          <w:sz w:val="22"/>
          <w:szCs w:val="22"/>
        </w:rPr>
        <w:t>(</w:t>
      </w:r>
      <w:r>
        <w:rPr>
          <w:rFonts w:ascii="Arial" w:hAnsi="Arial" w:cs="Arial"/>
          <w:sz w:val="22"/>
          <w:szCs w:val="22"/>
        </w:rPr>
        <w:t>61,1%</w:t>
      </w:r>
      <w:r w:rsidR="00135424">
        <w:rPr>
          <w:rFonts w:ascii="Arial" w:hAnsi="Arial" w:cs="Arial"/>
          <w:sz w:val="22"/>
          <w:szCs w:val="22"/>
        </w:rPr>
        <w:t xml:space="preserve"> nel 2020</w:t>
      </w:r>
      <w:r w:rsidR="005764AF">
        <w:rPr>
          <w:rFonts w:ascii="Arial" w:hAnsi="Arial" w:cs="Arial"/>
          <w:sz w:val="22"/>
          <w:szCs w:val="22"/>
        </w:rPr>
        <w:t>)</w:t>
      </w:r>
      <w:r>
        <w:rPr>
          <w:rFonts w:ascii="Arial" w:hAnsi="Arial" w:cs="Arial"/>
          <w:sz w:val="22"/>
          <w:szCs w:val="22"/>
        </w:rPr>
        <w:t xml:space="preserve">. </w:t>
      </w:r>
    </w:p>
    <w:p w14:paraId="682DBCCE" w14:textId="136C1EF4" w:rsidR="00F5771D" w:rsidRDefault="00F5771D" w:rsidP="00C76837">
      <w:pPr>
        <w:spacing w:after="120"/>
        <w:jc w:val="both"/>
        <w:outlineLvl w:val="0"/>
        <w:rPr>
          <w:rFonts w:ascii="Arial" w:hAnsi="Arial" w:cs="Arial"/>
          <w:sz w:val="22"/>
          <w:szCs w:val="22"/>
        </w:rPr>
      </w:pPr>
      <w:r w:rsidRPr="003B1B5A">
        <w:rPr>
          <w:rFonts w:ascii="Arial" w:hAnsi="Arial" w:cs="Arial"/>
          <w:sz w:val="22"/>
          <w:szCs w:val="22"/>
        </w:rPr>
        <w:t>Considerando</w:t>
      </w:r>
      <w:r>
        <w:rPr>
          <w:rFonts w:ascii="Arial" w:hAnsi="Arial" w:cs="Arial"/>
          <w:sz w:val="22"/>
          <w:szCs w:val="22"/>
        </w:rPr>
        <w:t xml:space="preserve"> infatti</w:t>
      </w:r>
      <w:r w:rsidRPr="003B1B5A">
        <w:rPr>
          <w:rFonts w:ascii="Arial" w:hAnsi="Arial" w:cs="Arial"/>
          <w:sz w:val="22"/>
          <w:szCs w:val="22"/>
        </w:rPr>
        <w:t xml:space="preserve"> i primi matrimoni di sposi entrambi italiani</w:t>
      </w:r>
      <w:r w:rsidR="00DE4BC2">
        <w:rPr>
          <w:rFonts w:ascii="Arial" w:hAnsi="Arial" w:cs="Arial"/>
          <w:sz w:val="22"/>
          <w:szCs w:val="22"/>
        </w:rPr>
        <w:t xml:space="preserve"> (</w:t>
      </w:r>
      <w:r w:rsidRPr="003B1B5A">
        <w:rPr>
          <w:rFonts w:ascii="Arial" w:hAnsi="Arial" w:cs="Arial"/>
          <w:sz w:val="22"/>
          <w:szCs w:val="22"/>
        </w:rPr>
        <w:t>l’8</w:t>
      </w:r>
      <w:r>
        <w:rPr>
          <w:rFonts w:ascii="Arial" w:hAnsi="Arial" w:cs="Arial"/>
          <w:sz w:val="22"/>
          <w:szCs w:val="22"/>
        </w:rPr>
        <w:t>3</w:t>
      </w:r>
      <w:r w:rsidRPr="003B1B5A">
        <w:rPr>
          <w:rFonts w:ascii="Arial" w:hAnsi="Arial" w:cs="Arial"/>
          <w:sz w:val="22"/>
          <w:szCs w:val="22"/>
        </w:rPr>
        <w:t>,</w:t>
      </w:r>
      <w:r>
        <w:rPr>
          <w:rFonts w:ascii="Arial" w:hAnsi="Arial" w:cs="Arial"/>
          <w:sz w:val="22"/>
          <w:szCs w:val="22"/>
        </w:rPr>
        <w:t>3</w:t>
      </w:r>
      <w:r w:rsidRPr="003B1B5A">
        <w:rPr>
          <w:rFonts w:ascii="Arial" w:hAnsi="Arial" w:cs="Arial"/>
          <w:sz w:val="22"/>
          <w:szCs w:val="22"/>
        </w:rPr>
        <w:t xml:space="preserve">% </w:t>
      </w:r>
      <w:r w:rsidRPr="0018166E">
        <w:rPr>
          <w:rFonts w:ascii="Arial" w:hAnsi="Arial" w:cs="Arial"/>
          <w:sz w:val="22"/>
          <w:szCs w:val="22"/>
        </w:rPr>
        <w:t>del totale dei primi matrimoni</w:t>
      </w:r>
      <w:r w:rsidR="00DE4BC2">
        <w:rPr>
          <w:rFonts w:ascii="Arial" w:hAnsi="Arial" w:cs="Arial"/>
          <w:sz w:val="22"/>
          <w:szCs w:val="22"/>
        </w:rPr>
        <w:t>)</w:t>
      </w:r>
      <w:r w:rsidRPr="0018166E">
        <w:rPr>
          <w:rFonts w:ascii="Arial" w:hAnsi="Arial" w:cs="Arial"/>
          <w:sz w:val="22"/>
          <w:szCs w:val="22"/>
        </w:rPr>
        <w:t xml:space="preserve"> l’incidenza media di quelli celebrati con il rito civile è del 54,6% </w:t>
      </w:r>
      <w:r>
        <w:rPr>
          <w:rFonts w:ascii="Arial" w:hAnsi="Arial" w:cs="Arial"/>
          <w:sz w:val="22"/>
          <w:szCs w:val="22"/>
        </w:rPr>
        <w:t xml:space="preserve">nel 2020 </w:t>
      </w:r>
      <w:r w:rsidRPr="0018166E">
        <w:rPr>
          <w:rFonts w:ascii="Arial" w:hAnsi="Arial" w:cs="Arial"/>
          <w:sz w:val="22"/>
          <w:szCs w:val="22"/>
        </w:rPr>
        <w:t>(33,4% nel 2019 e 20</w:t>
      </w:r>
      <w:r>
        <w:rPr>
          <w:rFonts w:ascii="Arial" w:hAnsi="Arial" w:cs="Arial"/>
          <w:sz w:val="22"/>
          <w:szCs w:val="22"/>
        </w:rPr>
        <w:t>,0</w:t>
      </w:r>
      <w:r w:rsidRPr="0018166E">
        <w:rPr>
          <w:rFonts w:ascii="Arial" w:hAnsi="Arial" w:cs="Arial"/>
          <w:sz w:val="22"/>
          <w:szCs w:val="22"/>
        </w:rPr>
        <w:t xml:space="preserve">% nel 2008). Questa quota presenta una spiccata variabilità territoriale: si passa dal </w:t>
      </w:r>
      <w:r>
        <w:rPr>
          <w:rFonts w:ascii="Arial" w:hAnsi="Arial" w:cs="Arial"/>
          <w:sz w:val="22"/>
          <w:szCs w:val="22"/>
        </w:rPr>
        <w:t xml:space="preserve">minimo </w:t>
      </w:r>
      <w:r w:rsidRPr="0018166E">
        <w:rPr>
          <w:rFonts w:ascii="Arial" w:hAnsi="Arial" w:cs="Arial"/>
          <w:sz w:val="22"/>
          <w:szCs w:val="22"/>
        </w:rPr>
        <w:t>nel Mezzogiorno</w:t>
      </w:r>
      <w:r>
        <w:rPr>
          <w:rFonts w:ascii="Arial" w:hAnsi="Arial" w:cs="Arial"/>
          <w:sz w:val="22"/>
          <w:szCs w:val="22"/>
        </w:rPr>
        <w:t xml:space="preserve"> </w:t>
      </w:r>
      <w:r w:rsidR="00135424">
        <w:rPr>
          <w:rFonts w:ascii="Arial" w:hAnsi="Arial" w:cs="Arial"/>
          <w:sz w:val="22"/>
          <w:szCs w:val="22"/>
        </w:rPr>
        <w:t>(</w:t>
      </w:r>
      <w:r w:rsidR="00135424" w:rsidRPr="0018166E">
        <w:rPr>
          <w:rFonts w:ascii="Arial" w:hAnsi="Arial" w:cs="Arial"/>
          <w:sz w:val="22"/>
          <w:szCs w:val="22"/>
        </w:rPr>
        <w:t>46,8%</w:t>
      </w:r>
      <w:r w:rsidR="00135424">
        <w:rPr>
          <w:rFonts w:ascii="Arial" w:hAnsi="Arial" w:cs="Arial"/>
          <w:sz w:val="22"/>
          <w:szCs w:val="22"/>
        </w:rPr>
        <w:t>)</w:t>
      </w:r>
      <w:r w:rsidR="00135424" w:rsidRPr="0018166E">
        <w:rPr>
          <w:rFonts w:ascii="Arial" w:hAnsi="Arial" w:cs="Arial"/>
          <w:sz w:val="22"/>
          <w:szCs w:val="22"/>
        </w:rPr>
        <w:t xml:space="preserve"> </w:t>
      </w:r>
      <w:r>
        <w:rPr>
          <w:rFonts w:ascii="Arial" w:hAnsi="Arial" w:cs="Arial"/>
          <w:sz w:val="22"/>
          <w:szCs w:val="22"/>
        </w:rPr>
        <w:t>al massimo del Centro</w:t>
      </w:r>
      <w:r w:rsidR="00135424">
        <w:rPr>
          <w:rFonts w:ascii="Arial" w:hAnsi="Arial" w:cs="Arial"/>
          <w:sz w:val="22"/>
          <w:szCs w:val="22"/>
        </w:rPr>
        <w:t xml:space="preserve"> (60,9%)</w:t>
      </w:r>
      <w:r>
        <w:rPr>
          <w:rFonts w:ascii="Arial" w:hAnsi="Arial" w:cs="Arial"/>
          <w:sz w:val="22"/>
          <w:szCs w:val="22"/>
        </w:rPr>
        <w:t xml:space="preserve">, distanze più ravvicinate rispetto al passato in presenza di una geografia che rimane sostanzialmente immutata </w:t>
      </w:r>
      <w:r w:rsidRPr="00EA5BD9">
        <w:rPr>
          <w:rFonts w:ascii="Arial" w:hAnsi="Arial" w:cs="Arial"/>
          <w:sz w:val="22"/>
          <w:szCs w:val="22"/>
        </w:rPr>
        <w:t xml:space="preserve">(Figura </w:t>
      </w:r>
      <w:r>
        <w:rPr>
          <w:rFonts w:ascii="Arial" w:hAnsi="Arial" w:cs="Arial"/>
          <w:sz w:val="22"/>
          <w:szCs w:val="22"/>
        </w:rPr>
        <w:t>2</w:t>
      </w:r>
      <w:r w:rsidRPr="00EA5BD9">
        <w:rPr>
          <w:rFonts w:ascii="Arial" w:hAnsi="Arial" w:cs="Arial"/>
          <w:sz w:val="22"/>
          <w:szCs w:val="22"/>
        </w:rPr>
        <w:t>).</w:t>
      </w:r>
      <w:r>
        <w:rPr>
          <w:rFonts w:ascii="Arial" w:hAnsi="Arial" w:cs="Arial"/>
          <w:sz w:val="22"/>
          <w:szCs w:val="22"/>
        </w:rPr>
        <w:t xml:space="preserve"> </w:t>
      </w:r>
      <w:r w:rsidR="00135424">
        <w:rPr>
          <w:rFonts w:ascii="Arial" w:hAnsi="Arial" w:cs="Arial"/>
          <w:sz w:val="22"/>
          <w:szCs w:val="22"/>
        </w:rPr>
        <w:t xml:space="preserve"> </w:t>
      </w:r>
    </w:p>
    <w:p w14:paraId="4D2626A7" w14:textId="42D56BFE" w:rsidR="0066209F" w:rsidRDefault="009209D8" w:rsidP="00C76837">
      <w:pPr>
        <w:spacing w:after="120"/>
        <w:jc w:val="both"/>
        <w:outlineLvl w:val="0"/>
        <w:rPr>
          <w:rFonts w:ascii="Arial" w:hAnsi="Arial" w:cs="Arial"/>
          <w:sz w:val="22"/>
          <w:szCs w:val="22"/>
        </w:rPr>
      </w:pPr>
      <w:r>
        <w:rPr>
          <w:rFonts w:ascii="Arial" w:hAnsi="Arial" w:cs="Arial"/>
          <w:sz w:val="22"/>
          <w:szCs w:val="22"/>
        </w:rPr>
        <w:t>La</w:t>
      </w:r>
      <w:r w:rsidR="0066209F" w:rsidRPr="0066209F">
        <w:rPr>
          <w:rFonts w:ascii="Arial" w:hAnsi="Arial" w:cs="Arial"/>
          <w:sz w:val="22"/>
          <w:szCs w:val="22"/>
        </w:rPr>
        <w:t xml:space="preserve"> scelta del regime patrimoniale di separazione dei beni</w:t>
      </w:r>
      <w:r>
        <w:rPr>
          <w:rFonts w:ascii="Arial" w:hAnsi="Arial" w:cs="Arial"/>
          <w:sz w:val="22"/>
          <w:szCs w:val="22"/>
        </w:rPr>
        <w:t>,</w:t>
      </w:r>
      <w:r w:rsidR="0066209F" w:rsidRPr="0066209F">
        <w:rPr>
          <w:rFonts w:ascii="Arial" w:hAnsi="Arial" w:cs="Arial"/>
          <w:sz w:val="22"/>
          <w:szCs w:val="22"/>
        </w:rPr>
        <w:t xml:space="preserve"> </w:t>
      </w:r>
      <w:r>
        <w:rPr>
          <w:rFonts w:ascii="Arial" w:hAnsi="Arial" w:cs="Arial"/>
          <w:sz w:val="22"/>
          <w:szCs w:val="22"/>
        </w:rPr>
        <w:t>tendenzialmente in</w:t>
      </w:r>
      <w:r w:rsidR="0066209F" w:rsidRPr="0066209F">
        <w:rPr>
          <w:rFonts w:ascii="Arial" w:hAnsi="Arial" w:cs="Arial"/>
          <w:sz w:val="22"/>
          <w:szCs w:val="22"/>
        </w:rPr>
        <w:t xml:space="preserve"> crescita</w:t>
      </w:r>
      <w:r>
        <w:rPr>
          <w:rFonts w:ascii="Arial" w:hAnsi="Arial" w:cs="Arial"/>
          <w:sz w:val="22"/>
          <w:szCs w:val="22"/>
        </w:rPr>
        <w:t xml:space="preserve"> rispetto al passato (</w:t>
      </w:r>
      <w:r w:rsidRPr="0066209F">
        <w:rPr>
          <w:rFonts w:ascii="Arial" w:hAnsi="Arial" w:cs="Arial"/>
          <w:sz w:val="22"/>
          <w:szCs w:val="22"/>
        </w:rPr>
        <w:t>62,7% nel 2008, 40,9% nel 1995)</w:t>
      </w:r>
      <w:r>
        <w:rPr>
          <w:rFonts w:ascii="Arial" w:hAnsi="Arial" w:cs="Arial"/>
          <w:sz w:val="22"/>
          <w:szCs w:val="22"/>
        </w:rPr>
        <w:t>, mostra un aumento più evidente</w:t>
      </w:r>
      <w:r w:rsidR="0066209F" w:rsidRPr="0066209F">
        <w:rPr>
          <w:rFonts w:ascii="Arial" w:hAnsi="Arial" w:cs="Arial"/>
          <w:sz w:val="22"/>
          <w:szCs w:val="22"/>
        </w:rPr>
        <w:t xml:space="preserve"> nel 2020</w:t>
      </w:r>
      <w:r>
        <w:rPr>
          <w:rFonts w:ascii="Arial" w:hAnsi="Arial" w:cs="Arial"/>
          <w:sz w:val="22"/>
          <w:szCs w:val="22"/>
        </w:rPr>
        <w:t>:</w:t>
      </w:r>
      <w:r w:rsidR="0066209F" w:rsidRPr="0066209F">
        <w:rPr>
          <w:rFonts w:ascii="Arial" w:hAnsi="Arial" w:cs="Arial"/>
          <w:sz w:val="22"/>
          <w:szCs w:val="22"/>
        </w:rPr>
        <w:t xml:space="preserve"> </w:t>
      </w:r>
      <w:r w:rsidR="0079194F">
        <w:rPr>
          <w:rFonts w:ascii="Arial" w:hAnsi="Arial" w:cs="Arial"/>
          <w:sz w:val="22"/>
          <w:szCs w:val="22"/>
        </w:rPr>
        <w:t xml:space="preserve">riguarda il </w:t>
      </w:r>
      <w:r w:rsidR="0066209F" w:rsidRPr="0066209F">
        <w:rPr>
          <w:rFonts w:ascii="Arial" w:hAnsi="Arial" w:cs="Arial"/>
          <w:sz w:val="22"/>
          <w:szCs w:val="22"/>
        </w:rPr>
        <w:t>74,7% dei matrimoni</w:t>
      </w:r>
      <w:r>
        <w:rPr>
          <w:rFonts w:ascii="Arial" w:hAnsi="Arial" w:cs="Arial"/>
          <w:sz w:val="22"/>
          <w:szCs w:val="22"/>
        </w:rPr>
        <w:t xml:space="preserve"> </w:t>
      </w:r>
      <w:r w:rsidR="0079194F">
        <w:rPr>
          <w:rFonts w:ascii="Arial" w:hAnsi="Arial" w:cs="Arial"/>
          <w:sz w:val="22"/>
          <w:szCs w:val="22"/>
        </w:rPr>
        <w:t>(</w:t>
      </w:r>
      <w:r>
        <w:rPr>
          <w:rFonts w:ascii="Arial" w:hAnsi="Arial" w:cs="Arial"/>
          <w:sz w:val="22"/>
          <w:szCs w:val="22"/>
        </w:rPr>
        <w:t>72,8% l’anno precedente</w:t>
      </w:r>
      <w:r w:rsidR="0079194F">
        <w:rPr>
          <w:rFonts w:ascii="Arial" w:hAnsi="Arial" w:cs="Arial"/>
          <w:sz w:val="22"/>
          <w:szCs w:val="22"/>
        </w:rPr>
        <w:t>)</w:t>
      </w:r>
      <w:r w:rsidR="0066209F" w:rsidRPr="0066209F">
        <w:rPr>
          <w:rFonts w:ascii="Arial" w:hAnsi="Arial" w:cs="Arial"/>
          <w:sz w:val="22"/>
          <w:szCs w:val="22"/>
        </w:rPr>
        <w:t>.</w:t>
      </w:r>
    </w:p>
    <w:p w14:paraId="73368F43" w14:textId="77777777" w:rsidR="0066209F" w:rsidRPr="006C4834" w:rsidRDefault="0066209F" w:rsidP="00C76837">
      <w:pPr>
        <w:spacing w:after="120"/>
        <w:jc w:val="both"/>
        <w:outlineLvl w:val="0"/>
        <w:rPr>
          <w:rFonts w:ascii="Arial" w:hAnsi="Arial" w:cs="Arial"/>
          <w:bCs/>
          <w:color w:val="1F497D" w:themeColor="text2"/>
          <w:sz w:val="22"/>
          <w:szCs w:val="22"/>
        </w:rPr>
      </w:pPr>
    </w:p>
    <w:p w14:paraId="2627F395" w14:textId="3A9F06CC" w:rsidR="00210644" w:rsidRPr="001A6284" w:rsidRDefault="0051159F" w:rsidP="00C76837">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Diminuisce ancora la nuzialità tra i giovani</w:t>
      </w:r>
    </w:p>
    <w:p w14:paraId="36FD3865" w14:textId="5EA9E739" w:rsidR="0079194F" w:rsidRDefault="00E65824" w:rsidP="00C76837">
      <w:pPr>
        <w:spacing w:after="120"/>
        <w:jc w:val="both"/>
        <w:outlineLvl w:val="0"/>
        <w:rPr>
          <w:rFonts w:ascii="Arial" w:hAnsi="Arial" w:cs="Arial"/>
          <w:sz w:val="22"/>
          <w:szCs w:val="22"/>
        </w:rPr>
      </w:pPr>
      <w:r>
        <w:rPr>
          <w:rFonts w:ascii="Arial" w:hAnsi="Arial" w:cs="Arial"/>
          <w:sz w:val="22"/>
          <w:szCs w:val="22"/>
        </w:rPr>
        <w:t>L</w:t>
      </w:r>
      <w:r w:rsidR="00B654BC" w:rsidRPr="00E7429D">
        <w:rPr>
          <w:rFonts w:ascii="Arial" w:hAnsi="Arial" w:cs="Arial"/>
          <w:sz w:val="22"/>
          <w:szCs w:val="22"/>
        </w:rPr>
        <w:t>a protratta permanenza dei giovani nella famiglia di origine</w:t>
      </w:r>
      <w:r w:rsidR="0079194F">
        <w:rPr>
          <w:rFonts w:ascii="Arial" w:hAnsi="Arial" w:cs="Arial"/>
          <w:sz w:val="22"/>
          <w:szCs w:val="22"/>
        </w:rPr>
        <w:t xml:space="preserve"> -</w:t>
      </w:r>
      <w:r w:rsidR="005C5F52">
        <w:rPr>
          <w:rFonts w:ascii="Arial" w:hAnsi="Arial" w:cs="Arial"/>
          <w:sz w:val="22"/>
          <w:szCs w:val="22"/>
        </w:rPr>
        <w:t xml:space="preserve"> causata da molteplici fattori quali l’</w:t>
      </w:r>
      <w:r w:rsidR="005C5F52" w:rsidRPr="0019759E">
        <w:rPr>
          <w:rFonts w:ascii="Arial" w:hAnsi="Arial" w:cs="Arial"/>
          <w:sz w:val="22"/>
          <w:szCs w:val="22"/>
        </w:rPr>
        <w:t xml:space="preserve">aumento diffuso della scolarizzazione e </w:t>
      </w:r>
      <w:r w:rsidR="005C5F52">
        <w:rPr>
          <w:rFonts w:ascii="Arial" w:hAnsi="Arial" w:cs="Arial"/>
          <w:sz w:val="22"/>
          <w:szCs w:val="22"/>
        </w:rPr>
        <w:t>l’</w:t>
      </w:r>
      <w:r w:rsidR="005C5F52" w:rsidRPr="0019759E">
        <w:rPr>
          <w:rFonts w:ascii="Arial" w:hAnsi="Arial" w:cs="Arial"/>
          <w:sz w:val="22"/>
          <w:szCs w:val="22"/>
        </w:rPr>
        <w:t>allungamento dei tempi formativi</w:t>
      </w:r>
      <w:r w:rsidR="0079194F">
        <w:rPr>
          <w:rFonts w:ascii="Arial" w:hAnsi="Arial" w:cs="Arial"/>
          <w:sz w:val="22"/>
          <w:szCs w:val="22"/>
        </w:rPr>
        <w:t>,</w:t>
      </w:r>
      <w:r w:rsidR="005C5F52" w:rsidRPr="0019759E">
        <w:rPr>
          <w:rFonts w:ascii="Arial" w:hAnsi="Arial" w:cs="Arial"/>
          <w:sz w:val="22"/>
          <w:szCs w:val="22"/>
        </w:rPr>
        <w:t xml:space="preserve"> </w:t>
      </w:r>
      <w:r w:rsidR="005C5F52">
        <w:rPr>
          <w:rFonts w:ascii="Arial" w:hAnsi="Arial" w:cs="Arial"/>
          <w:sz w:val="22"/>
          <w:szCs w:val="22"/>
        </w:rPr>
        <w:t xml:space="preserve">le </w:t>
      </w:r>
      <w:r w:rsidR="005C5F52" w:rsidRPr="0019759E">
        <w:rPr>
          <w:rFonts w:ascii="Arial" w:hAnsi="Arial" w:cs="Arial"/>
          <w:sz w:val="22"/>
          <w:szCs w:val="22"/>
        </w:rPr>
        <w:t xml:space="preserve">difficoltà nell’ingresso nel mondo del lavoro e </w:t>
      </w:r>
      <w:r w:rsidR="005C5F52">
        <w:rPr>
          <w:rFonts w:ascii="Arial" w:hAnsi="Arial" w:cs="Arial"/>
          <w:sz w:val="22"/>
          <w:szCs w:val="22"/>
        </w:rPr>
        <w:t xml:space="preserve">la </w:t>
      </w:r>
      <w:r w:rsidR="005C5F52" w:rsidRPr="0019759E">
        <w:rPr>
          <w:rFonts w:ascii="Arial" w:hAnsi="Arial" w:cs="Arial"/>
          <w:sz w:val="22"/>
          <w:szCs w:val="22"/>
        </w:rPr>
        <w:t>condizione di precarietà del lavoro stesso</w:t>
      </w:r>
      <w:r w:rsidR="005C5F52">
        <w:rPr>
          <w:rFonts w:ascii="Arial" w:hAnsi="Arial" w:cs="Arial"/>
          <w:sz w:val="22"/>
          <w:szCs w:val="22"/>
        </w:rPr>
        <w:t>;</w:t>
      </w:r>
      <w:r w:rsidR="005C5F52" w:rsidRPr="0019759E">
        <w:rPr>
          <w:rFonts w:ascii="Arial" w:hAnsi="Arial" w:cs="Arial"/>
          <w:sz w:val="22"/>
          <w:szCs w:val="22"/>
        </w:rPr>
        <w:t xml:space="preserve"> </w:t>
      </w:r>
      <w:r w:rsidR="005C5F52">
        <w:rPr>
          <w:rFonts w:ascii="Arial" w:hAnsi="Arial" w:cs="Arial"/>
          <w:sz w:val="22"/>
          <w:szCs w:val="22"/>
        </w:rPr>
        <w:t xml:space="preserve">la </w:t>
      </w:r>
      <w:r w:rsidR="005C5F52" w:rsidRPr="0019759E">
        <w:rPr>
          <w:rFonts w:ascii="Arial" w:hAnsi="Arial" w:cs="Arial"/>
          <w:sz w:val="22"/>
          <w:szCs w:val="22"/>
        </w:rPr>
        <w:t>difficoltà di access</w:t>
      </w:r>
      <w:r w:rsidR="005C5F52">
        <w:rPr>
          <w:rFonts w:ascii="Arial" w:hAnsi="Arial" w:cs="Arial"/>
          <w:sz w:val="22"/>
          <w:szCs w:val="22"/>
        </w:rPr>
        <w:t>o al mercato delle abitazioni</w:t>
      </w:r>
      <w:r w:rsidR="0079194F">
        <w:rPr>
          <w:rFonts w:ascii="Arial" w:hAnsi="Arial" w:cs="Arial"/>
          <w:sz w:val="22"/>
          <w:szCs w:val="22"/>
        </w:rPr>
        <w:t xml:space="preserve"> -</w:t>
      </w:r>
      <w:r w:rsidR="00B654BC" w:rsidRPr="00E7429D">
        <w:rPr>
          <w:rFonts w:ascii="Arial" w:hAnsi="Arial" w:cs="Arial"/>
          <w:sz w:val="22"/>
          <w:szCs w:val="22"/>
        </w:rPr>
        <w:t xml:space="preserve"> </w:t>
      </w:r>
      <w:r>
        <w:rPr>
          <w:rFonts w:ascii="Arial" w:hAnsi="Arial" w:cs="Arial"/>
          <w:sz w:val="22"/>
          <w:szCs w:val="22"/>
        </w:rPr>
        <w:t xml:space="preserve">ha come è noto un effetto diretto sul </w:t>
      </w:r>
      <w:r w:rsidR="00B654BC" w:rsidRPr="00E7429D">
        <w:rPr>
          <w:rFonts w:ascii="Arial" w:hAnsi="Arial" w:cs="Arial"/>
          <w:sz w:val="22"/>
          <w:szCs w:val="22"/>
        </w:rPr>
        <w:t>rinvio delle prime nozze</w:t>
      </w:r>
      <w:r w:rsidR="001D0850">
        <w:rPr>
          <w:rFonts w:ascii="Arial" w:hAnsi="Arial" w:cs="Arial"/>
          <w:sz w:val="22"/>
          <w:szCs w:val="22"/>
        </w:rPr>
        <w:t>.</w:t>
      </w:r>
      <w:r w:rsidR="0070455B" w:rsidRPr="000C4223">
        <w:rPr>
          <w:rFonts w:ascii="Arial" w:hAnsi="Arial" w:cs="Arial"/>
          <w:sz w:val="22"/>
          <w:szCs w:val="22"/>
        </w:rPr>
        <w:t xml:space="preserve"> </w:t>
      </w:r>
    </w:p>
    <w:p w14:paraId="650E3C7A" w14:textId="2F02B435" w:rsidR="0070455B" w:rsidRPr="003833B9" w:rsidRDefault="0079194F" w:rsidP="00C76837">
      <w:pPr>
        <w:spacing w:after="120"/>
        <w:jc w:val="both"/>
        <w:outlineLvl w:val="0"/>
        <w:rPr>
          <w:rFonts w:ascii="Arial" w:hAnsi="Arial" w:cs="Arial"/>
          <w:sz w:val="22"/>
          <w:szCs w:val="22"/>
        </w:rPr>
      </w:pPr>
      <w:r>
        <w:rPr>
          <w:rFonts w:ascii="Arial" w:hAnsi="Arial" w:cs="Arial"/>
          <w:sz w:val="22"/>
          <w:szCs w:val="22"/>
        </w:rPr>
        <w:t xml:space="preserve">Tale </w:t>
      </w:r>
      <w:r w:rsidRPr="000C4223">
        <w:rPr>
          <w:rFonts w:ascii="Arial" w:hAnsi="Arial" w:cs="Arial"/>
          <w:sz w:val="22"/>
          <w:szCs w:val="22"/>
        </w:rPr>
        <w:t>effetto</w:t>
      </w:r>
      <w:r w:rsidR="0070455B" w:rsidRPr="000C4223">
        <w:rPr>
          <w:rFonts w:ascii="Arial" w:hAnsi="Arial" w:cs="Arial"/>
          <w:sz w:val="22"/>
          <w:szCs w:val="22"/>
        </w:rPr>
        <w:t xml:space="preserve"> </w:t>
      </w:r>
      <w:r w:rsidR="0070455B">
        <w:rPr>
          <w:rFonts w:ascii="Arial" w:hAnsi="Arial" w:cs="Arial"/>
          <w:sz w:val="22"/>
          <w:szCs w:val="22"/>
        </w:rPr>
        <w:t>si amplifica nei periodi di congiuntura economica sfavorevole, spingendo</w:t>
      </w:r>
      <w:r w:rsidR="0070455B" w:rsidRPr="000C4223">
        <w:rPr>
          <w:rFonts w:ascii="Arial" w:hAnsi="Arial" w:cs="Arial"/>
          <w:sz w:val="22"/>
          <w:szCs w:val="22"/>
        </w:rPr>
        <w:t xml:space="preserve"> </w:t>
      </w:r>
      <w:r w:rsidR="0070455B">
        <w:rPr>
          <w:rFonts w:ascii="Arial" w:hAnsi="Arial" w:cs="Arial"/>
          <w:sz w:val="22"/>
          <w:szCs w:val="22"/>
        </w:rPr>
        <w:t>i</w:t>
      </w:r>
      <w:r w:rsidR="0070455B" w:rsidRPr="000C4223">
        <w:rPr>
          <w:rFonts w:ascii="Arial" w:hAnsi="Arial" w:cs="Arial"/>
          <w:sz w:val="22"/>
          <w:szCs w:val="22"/>
        </w:rPr>
        <w:t xml:space="preserve"> giovani a ritardare ulteriormente, rispetto alle generazioni precedenti, le </w:t>
      </w:r>
      <w:r w:rsidR="0070455B" w:rsidRPr="003833B9">
        <w:rPr>
          <w:rFonts w:ascii="Arial" w:hAnsi="Arial" w:cs="Arial"/>
          <w:sz w:val="22"/>
          <w:szCs w:val="22"/>
        </w:rPr>
        <w:t>tappe dei percorsi verso la vita adulta, tra cui quella della formazione di una famiglia.</w:t>
      </w:r>
      <w:r w:rsidR="0070455B" w:rsidRPr="003833B9">
        <w:rPr>
          <w:rStyle w:val="Rimandonotadichiusura"/>
          <w:rFonts w:ascii="Arial" w:hAnsi="Arial" w:cs="Arial"/>
          <w:sz w:val="22"/>
          <w:szCs w:val="22"/>
        </w:rPr>
        <w:endnoteReference w:id="5"/>
      </w:r>
      <w:r w:rsidR="00E65824">
        <w:rPr>
          <w:rFonts w:ascii="Arial" w:hAnsi="Arial" w:cs="Arial"/>
          <w:sz w:val="22"/>
          <w:szCs w:val="22"/>
        </w:rPr>
        <w:t xml:space="preserve"> </w:t>
      </w:r>
      <w:r>
        <w:rPr>
          <w:rFonts w:ascii="Arial" w:hAnsi="Arial" w:cs="Arial"/>
          <w:sz w:val="22"/>
          <w:szCs w:val="22"/>
        </w:rPr>
        <w:t>Sul posticipo del primo matrimonio incide poi molto</w:t>
      </w:r>
      <w:r w:rsidR="00C76691">
        <w:rPr>
          <w:rFonts w:ascii="Arial" w:hAnsi="Arial" w:cs="Arial"/>
          <w:sz w:val="22"/>
          <w:szCs w:val="22"/>
        </w:rPr>
        <w:t xml:space="preserve"> la diffusione delle convivenze prematrimonial</w:t>
      </w:r>
      <w:r>
        <w:rPr>
          <w:rFonts w:ascii="Arial" w:hAnsi="Arial" w:cs="Arial"/>
          <w:sz w:val="22"/>
          <w:szCs w:val="22"/>
        </w:rPr>
        <w:t>i</w:t>
      </w:r>
      <w:r w:rsidR="00C76691">
        <w:rPr>
          <w:rFonts w:ascii="Arial" w:hAnsi="Arial" w:cs="Arial"/>
          <w:sz w:val="22"/>
          <w:szCs w:val="22"/>
        </w:rPr>
        <w:t>.</w:t>
      </w:r>
    </w:p>
    <w:p w14:paraId="2F3A707B" w14:textId="3F48CAC2" w:rsidR="006C3983" w:rsidRDefault="0070455B" w:rsidP="00C76837">
      <w:pPr>
        <w:spacing w:after="120"/>
        <w:jc w:val="both"/>
        <w:outlineLvl w:val="0"/>
        <w:rPr>
          <w:rFonts w:ascii="Arial" w:hAnsi="Arial" w:cs="Arial"/>
          <w:sz w:val="22"/>
          <w:szCs w:val="22"/>
        </w:rPr>
      </w:pPr>
      <w:r w:rsidRPr="003833B9">
        <w:rPr>
          <w:rFonts w:ascii="Arial" w:hAnsi="Arial" w:cs="Arial"/>
          <w:sz w:val="22"/>
          <w:szCs w:val="22"/>
        </w:rPr>
        <w:t>Il calcolo de</w:t>
      </w:r>
      <w:r w:rsidR="00944C96" w:rsidRPr="003833B9">
        <w:rPr>
          <w:rFonts w:ascii="Arial" w:hAnsi="Arial" w:cs="Arial"/>
          <w:sz w:val="22"/>
          <w:szCs w:val="22"/>
        </w:rPr>
        <w:t>ll’indice (o tasso)</w:t>
      </w:r>
      <w:r w:rsidRPr="003833B9">
        <w:rPr>
          <w:rFonts w:ascii="Arial" w:hAnsi="Arial" w:cs="Arial"/>
          <w:sz w:val="22"/>
          <w:szCs w:val="22"/>
        </w:rPr>
        <w:t xml:space="preserve"> di primo-nuzialità </w:t>
      </w:r>
      <w:r w:rsidR="00944C96" w:rsidRPr="003833B9">
        <w:rPr>
          <w:rFonts w:ascii="Arial" w:hAnsi="Arial" w:cs="Arial"/>
          <w:sz w:val="22"/>
          <w:szCs w:val="22"/>
        </w:rPr>
        <w:t xml:space="preserve">totale </w:t>
      </w:r>
      <w:r w:rsidRPr="003833B9">
        <w:rPr>
          <w:rFonts w:ascii="Arial" w:hAnsi="Arial" w:cs="Arial"/>
          <w:sz w:val="22"/>
          <w:szCs w:val="22"/>
        </w:rPr>
        <w:t>consente, tenendo conto della composizione per età della popolazione</w:t>
      </w:r>
      <w:r w:rsidR="00CC5049" w:rsidRPr="003833B9">
        <w:rPr>
          <w:rFonts w:ascii="Arial" w:hAnsi="Arial" w:cs="Arial"/>
          <w:sz w:val="22"/>
          <w:szCs w:val="22"/>
        </w:rPr>
        <w:t>,</w:t>
      </w:r>
      <w:r w:rsidRPr="003833B9">
        <w:rPr>
          <w:rFonts w:ascii="Arial" w:hAnsi="Arial" w:cs="Arial"/>
          <w:sz w:val="22"/>
          <w:szCs w:val="22"/>
        </w:rPr>
        <w:t xml:space="preserve"> di misurare </w:t>
      </w:r>
      <w:r w:rsidR="00944C96" w:rsidRPr="003833B9">
        <w:rPr>
          <w:rFonts w:ascii="Arial" w:hAnsi="Arial" w:cs="Arial"/>
          <w:sz w:val="22"/>
          <w:szCs w:val="22"/>
        </w:rPr>
        <w:t xml:space="preserve">la propensione al matrimonio </w:t>
      </w:r>
      <w:r w:rsidR="00CC5049" w:rsidRPr="003833B9">
        <w:rPr>
          <w:rFonts w:ascii="Arial" w:hAnsi="Arial" w:cs="Arial"/>
          <w:sz w:val="22"/>
          <w:szCs w:val="22"/>
        </w:rPr>
        <w:t xml:space="preserve">che si avrebbe se </w:t>
      </w:r>
      <w:r w:rsidR="00133335" w:rsidRPr="003833B9">
        <w:rPr>
          <w:rFonts w:ascii="Arial" w:hAnsi="Arial" w:cs="Arial"/>
          <w:sz w:val="22"/>
          <w:szCs w:val="22"/>
        </w:rPr>
        <w:t xml:space="preserve">l’intensità </w:t>
      </w:r>
      <w:r w:rsidR="00944C96" w:rsidRPr="003833B9">
        <w:rPr>
          <w:rFonts w:ascii="Arial" w:hAnsi="Arial" w:cs="Arial"/>
          <w:sz w:val="22"/>
          <w:szCs w:val="22"/>
        </w:rPr>
        <w:t>della primo-nuzialità</w:t>
      </w:r>
      <w:r w:rsidR="001D0850">
        <w:rPr>
          <w:rFonts w:ascii="Arial" w:hAnsi="Arial" w:cs="Arial"/>
          <w:sz w:val="22"/>
          <w:szCs w:val="22"/>
        </w:rPr>
        <w:t>,</w:t>
      </w:r>
      <w:r w:rsidR="00944C96" w:rsidRPr="003833B9">
        <w:rPr>
          <w:rFonts w:ascii="Arial" w:hAnsi="Arial" w:cs="Arial"/>
          <w:sz w:val="22"/>
          <w:szCs w:val="22"/>
        </w:rPr>
        <w:t xml:space="preserve"> rilevata </w:t>
      </w:r>
      <w:r w:rsidR="0079194F">
        <w:rPr>
          <w:rFonts w:ascii="Arial" w:hAnsi="Arial" w:cs="Arial"/>
          <w:sz w:val="22"/>
          <w:szCs w:val="22"/>
        </w:rPr>
        <w:t xml:space="preserve">per </w:t>
      </w:r>
      <w:r w:rsidR="0079194F" w:rsidRPr="003833B9">
        <w:rPr>
          <w:rFonts w:ascii="Arial" w:hAnsi="Arial" w:cs="Arial"/>
          <w:sz w:val="22"/>
          <w:szCs w:val="22"/>
        </w:rPr>
        <w:t xml:space="preserve">le </w:t>
      </w:r>
      <w:r w:rsidRPr="003833B9">
        <w:rPr>
          <w:rFonts w:ascii="Arial" w:hAnsi="Arial" w:cs="Arial"/>
          <w:sz w:val="22"/>
          <w:szCs w:val="22"/>
        </w:rPr>
        <w:t>diverse fasce di età</w:t>
      </w:r>
      <w:r w:rsidR="00CC5049" w:rsidRPr="003833B9">
        <w:rPr>
          <w:rFonts w:ascii="Arial" w:hAnsi="Arial" w:cs="Arial"/>
          <w:sz w:val="22"/>
          <w:szCs w:val="22"/>
        </w:rPr>
        <w:t xml:space="preserve"> </w:t>
      </w:r>
      <w:r w:rsidR="00133335" w:rsidRPr="003833B9">
        <w:rPr>
          <w:rFonts w:ascii="Arial" w:hAnsi="Arial" w:cs="Arial"/>
          <w:sz w:val="22"/>
          <w:szCs w:val="22"/>
        </w:rPr>
        <w:t>nell’</w:t>
      </w:r>
      <w:r w:rsidR="00944C96" w:rsidRPr="003833B9">
        <w:rPr>
          <w:rFonts w:ascii="Arial" w:hAnsi="Arial" w:cs="Arial"/>
          <w:sz w:val="22"/>
          <w:szCs w:val="22"/>
        </w:rPr>
        <w:t>ann</w:t>
      </w:r>
      <w:r w:rsidR="00133335" w:rsidRPr="003833B9">
        <w:rPr>
          <w:rFonts w:ascii="Arial" w:hAnsi="Arial" w:cs="Arial"/>
          <w:sz w:val="22"/>
          <w:szCs w:val="22"/>
        </w:rPr>
        <w:t>o di osservazione, dovesse caratterizzare l’intero ciclo di vita di una generazione (</w:t>
      </w:r>
      <w:r w:rsidR="00944C96" w:rsidRPr="003833B9">
        <w:rPr>
          <w:rFonts w:ascii="Arial" w:hAnsi="Arial" w:cs="Arial"/>
          <w:sz w:val="22"/>
          <w:szCs w:val="22"/>
        </w:rPr>
        <w:t xml:space="preserve">operando </w:t>
      </w:r>
      <w:r w:rsidR="00133335" w:rsidRPr="003833B9">
        <w:rPr>
          <w:rFonts w:ascii="Arial" w:hAnsi="Arial" w:cs="Arial"/>
          <w:sz w:val="22"/>
          <w:szCs w:val="22"/>
        </w:rPr>
        <w:t xml:space="preserve">distintamente per </w:t>
      </w:r>
      <w:r w:rsidR="0079194F">
        <w:rPr>
          <w:rFonts w:ascii="Arial" w:hAnsi="Arial" w:cs="Arial"/>
          <w:sz w:val="22"/>
          <w:szCs w:val="22"/>
        </w:rPr>
        <w:t>uomini</w:t>
      </w:r>
      <w:r w:rsidR="0079194F" w:rsidRPr="003833B9">
        <w:rPr>
          <w:rFonts w:ascii="Arial" w:hAnsi="Arial" w:cs="Arial"/>
          <w:sz w:val="22"/>
          <w:szCs w:val="22"/>
        </w:rPr>
        <w:t xml:space="preserve"> </w:t>
      </w:r>
      <w:r w:rsidR="00133335" w:rsidRPr="003833B9">
        <w:rPr>
          <w:rFonts w:ascii="Arial" w:hAnsi="Arial" w:cs="Arial"/>
          <w:sz w:val="22"/>
          <w:szCs w:val="22"/>
        </w:rPr>
        <w:t xml:space="preserve">e </w:t>
      </w:r>
      <w:r w:rsidR="0079194F">
        <w:rPr>
          <w:rFonts w:ascii="Arial" w:hAnsi="Arial" w:cs="Arial"/>
          <w:sz w:val="22"/>
          <w:szCs w:val="22"/>
        </w:rPr>
        <w:t>don</w:t>
      </w:r>
      <w:r w:rsidR="0079194F" w:rsidRPr="003833B9">
        <w:rPr>
          <w:rFonts w:ascii="Arial" w:hAnsi="Arial" w:cs="Arial"/>
          <w:sz w:val="22"/>
          <w:szCs w:val="22"/>
        </w:rPr>
        <w:t>ne</w:t>
      </w:r>
      <w:r w:rsidR="00133335" w:rsidRPr="003833B9">
        <w:rPr>
          <w:rFonts w:ascii="Arial" w:hAnsi="Arial" w:cs="Arial"/>
          <w:sz w:val="22"/>
          <w:szCs w:val="22"/>
        </w:rPr>
        <w:t>)</w:t>
      </w:r>
      <w:r w:rsidR="00944C96" w:rsidRPr="003833B9">
        <w:rPr>
          <w:rFonts w:ascii="Arial" w:hAnsi="Arial" w:cs="Arial"/>
          <w:sz w:val="22"/>
          <w:szCs w:val="22"/>
        </w:rPr>
        <w:t>.</w:t>
      </w:r>
    </w:p>
    <w:p w14:paraId="5D0BC38F" w14:textId="04EC1E58" w:rsidR="00404DB4" w:rsidRDefault="00404DB4" w:rsidP="00C76837">
      <w:pPr>
        <w:spacing w:after="120"/>
        <w:jc w:val="both"/>
        <w:outlineLvl w:val="0"/>
        <w:rPr>
          <w:rFonts w:ascii="Arial" w:hAnsi="Arial" w:cs="Arial"/>
          <w:sz w:val="22"/>
          <w:szCs w:val="22"/>
        </w:rPr>
      </w:pPr>
    </w:p>
    <w:p w14:paraId="7154DC40" w14:textId="77777777" w:rsidR="00404DB4" w:rsidRPr="00E9254D" w:rsidRDefault="00404DB4" w:rsidP="00C76837">
      <w:pPr>
        <w:spacing w:after="120"/>
        <w:jc w:val="both"/>
        <w:outlineLvl w:val="0"/>
        <w:rPr>
          <w:rFonts w:ascii="Arial" w:hAnsi="Arial" w:cs="Arial"/>
          <w:sz w:val="36"/>
          <w:szCs w:val="36"/>
        </w:rPr>
      </w:pPr>
    </w:p>
    <w:p w14:paraId="11A1ECFE" w14:textId="1B4D85F4" w:rsidR="00BF6EDC" w:rsidRDefault="00E81960" w:rsidP="00FB204E">
      <w:pPr>
        <w:autoSpaceDE w:val="0"/>
        <w:autoSpaceDN w:val="0"/>
        <w:adjustRightInd w:val="0"/>
        <w:rPr>
          <w:rFonts w:ascii="Arial Narrow" w:hAnsi="Arial Narrow"/>
          <w:color w:val="1F497D"/>
          <w:sz w:val="22"/>
          <w:szCs w:val="22"/>
        </w:rPr>
      </w:pPr>
      <w:r w:rsidRPr="00E81960">
        <w:rPr>
          <w:rFonts w:ascii="Arial Black" w:hAnsi="Arial Black" w:cs="Arial"/>
          <w:iCs/>
          <w:noProof/>
          <w:color w:val="1F497D" w:themeColor="text2"/>
          <w:sz w:val="22"/>
          <w:szCs w:val="22"/>
        </w:rPr>
        <w:t xml:space="preserve">FIGURA </w:t>
      </w:r>
      <w:r w:rsidR="007B5937">
        <w:rPr>
          <w:rFonts w:ascii="Arial Black" w:hAnsi="Arial Black" w:cs="Arial"/>
          <w:iCs/>
          <w:noProof/>
          <w:color w:val="1F497D" w:themeColor="text2"/>
          <w:sz w:val="22"/>
          <w:szCs w:val="22"/>
        </w:rPr>
        <w:t>3</w:t>
      </w:r>
      <w:r w:rsidRPr="00E81960">
        <w:rPr>
          <w:rFonts w:ascii="Arial Black" w:hAnsi="Arial Black" w:cs="Arial"/>
          <w:iCs/>
          <w:noProof/>
          <w:color w:val="1F497D" w:themeColor="text2"/>
          <w:sz w:val="22"/>
          <w:szCs w:val="22"/>
        </w:rPr>
        <w:t>.</w:t>
      </w:r>
      <w:r w:rsidRPr="00E81960">
        <w:rPr>
          <w:rFonts w:ascii="Arial Narrow" w:hAnsi="Arial Narrow" w:cs="Arial"/>
          <w:b/>
          <w:iCs/>
          <w:noProof/>
          <w:color w:val="1F497D" w:themeColor="text2"/>
          <w:sz w:val="22"/>
          <w:szCs w:val="22"/>
        </w:rPr>
        <w:t xml:space="preserve"> </w:t>
      </w:r>
      <w:r w:rsidR="000C62EC">
        <w:rPr>
          <w:rFonts w:ascii="Arial Narrow" w:hAnsi="Arial Narrow"/>
          <w:b/>
          <w:bCs/>
          <w:color w:val="1F497D"/>
          <w:sz w:val="22"/>
          <w:szCs w:val="22"/>
        </w:rPr>
        <w:t>TASSI DI PRIMO-NUZIALITÀ</w:t>
      </w:r>
      <w:r w:rsidR="00706C30">
        <w:rPr>
          <w:rFonts w:ascii="Arial Narrow" w:hAnsi="Arial Narrow"/>
          <w:b/>
          <w:bCs/>
          <w:color w:val="1F497D"/>
          <w:sz w:val="22"/>
          <w:szCs w:val="22"/>
        </w:rPr>
        <w:t xml:space="preserve"> </w:t>
      </w:r>
      <w:r w:rsidRPr="00E81960">
        <w:rPr>
          <w:rFonts w:ascii="Arial Narrow" w:hAnsi="Arial Narrow"/>
          <w:b/>
          <w:bCs/>
          <w:color w:val="1F497D"/>
          <w:sz w:val="22"/>
          <w:szCs w:val="22"/>
        </w:rPr>
        <w:t>PER</w:t>
      </w:r>
      <w:r w:rsidR="00E9254D">
        <w:rPr>
          <w:rFonts w:ascii="Arial Narrow" w:hAnsi="Arial Narrow"/>
          <w:b/>
          <w:bCs/>
          <w:color w:val="1F497D"/>
          <w:sz w:val="22"/>
          <w:szCs w:val="22"/>
        </w:rPr>
        <w:t xml:space="preserve"> GENERE</w:t>
      </w:r>
      <w:r w:rsidR="00135424">
        <w:rPr>
          <w:rFonts w:ascii="Arial Narrow" w:hAnsi="Arial Narrow"/>
          <w:b/>
          <w:bCs/>
          <w:color w:val="1F497D"/>
          <w:sz w:val="22"/>
          <w:szCs w:val="22"/>
        </w:rPr>
        <w:t xml:space="preserve"> </w:t>
      </w:r>
      <w:r w:rsidR="00706C30">
        <w:rPr>
          <w:rFonts w:ascii="Arial Narrow" w:hAnsi="Arial Narrow"/>
          <w:b/>
          <w:bCs/>
          <w:color w:val="1F497D"/>
          <w:sz w:val="22"/>
          <w:szCs w:val="22"/>
        </w:rPr>
        <w:t>ED</w:t>
      </w:r>
      <w:r w:rsidRPr="00E81960">
        <w:rPr>
          <w:rFonts w:ascii="Arial Narrow" w:hAnsi="Arial Narrow"/>
          <w:b/>
          <w:bCs/>
          <w:color w:val="1F497D"/>
          <w:sz w:val="22"/>
          <w:szCs w:val="22"/>
        </w:rPr>
        <w:t xml:space="preserve"> ET</w:t>
      </w:r>
      <w:r w:rsidR="000C62EC">
        <w:rPr>
          <w:rFonts w:ascii="Arial Narrow" w:hAnsi="Arial Narrow"/>
          <w:b/>
          <w:bCs/>
          <w:color w:val="1F497D"/>
          <w:sz w:val="22"/>
          <w:szCs w:val="22"/>
        </w:rPr>
        <w:t>À</w:t>
      </w:r>
      <w:r w:rsidR="00404DB4">
        <w:rPr>
          <w:rFonts w:ascii="Arial Narrow" w:hAnsi="Arial Narrow"/>
          <w:b/>
          <w:bCs/>
          <w:color w:val="1F497D"/>
          <w:sz w:val="22"/>
          <w:szCs w:val="22"/>
        </w:rPr>
        <w:t xml:space="preserve">. </w:t>
      </w:r>
      <w:r w:rsidRPr="00E81960">
        <w:rPr>
          <w:rFonts w:ascii="Arial Narrow" w:hAnsi="Arial Narrow"/>
          <w:color w:val="1F497D"/>
          <w:sz w:val="22"/>
          <w:szCs w:val="22"/>
        </w:rPr>
        <w:t xml:space="preserve">Anni </w:t>
      </w:r>
      <w:r w:rsidR="00567027">
        <w:rPr>
          <w:rFonts w:ascii="Arial Narrow" w:hAnsi="Arial Narrow"/>
          <w:color w:val="1F497D"/>
          <w:sz w:val="22"/>
          <w:szCs w:val="22"/>
        </w:rPr>
        <w:t xml:space="preserve">2008, </w:t>
      </w:r>
      <w:r w:rsidRPr="00E81960">
        <w:rPr>
          <w:rFonts w:ascii="Arial Narrow" w:hAnsi="Arial Narrow"/>
          <w:color w:val="1F497D"/>
          <w:sz w:val="22"/>
          <w:szCs w:val="22"/>
        </w:rPr>
        <w:t>2010, 2014 e 2019</w:t>
      </w:r>
      <w:r w:rsidR="009A4301">
        <w:rPr>
          <w:rFonts w:ascii="Arial Narrow" w:hAnsi="Arial Narrow"/>
          <w:color w:val="1F497D"/>
          <w:sz w:val="22"/>
          <w:szCs w:val="22"/>
        </w:rPr>
        <w:t xml:space="preserve"> e 2020</w:t>
      </w:r>
      <w:r w:rsidR="00706C30">
        <w:rPr>
          <w:rFonts w:ascii="Arial Narrow" w:hAnsi="Arial Narrow"/>
          <w:color w:val="1F497D"/>
          <w:sz w:val="22"/>
          <w:szCs w:val="22"/>
        </w:rPr>
        <w:t xml:space="preserve">, valori per mille uomini e per mille </w:t>
      </w:r>
      <w:r w:rsidRPr="00E81960">
        <w:rPr>
          <w:rFonts w:ascii="Arial Narrow" w:hAnsi="Arial Narrow"/>
          <w:color w:val="1F497D"/>
          <w:sz w:val="22"/>
          <w:szCs w:val="22"/>
        </w:rPr>
        <w:t>donne</w:t>
      </w:r>
    </w:p>
    <w:p w14:paraId="30B8DA2F" w14:textId="5BAB660F" w:rsidR="009A4301" w:rsidRDefault="009A4301" w:rsidP="00FB204E">
      <w:pPr>
        <w:autoSpaceDE w:val="0"/>
        <w:autoSpaceDN w:val="0"/>
        <w:adjustRightInd w:val="0"/>
        <w:rPr>
          <w:rFonts w:ascii="Arial Narrow" w:hAnsi="Arial Narrow"/>
          <w:color w:val="1F497D"/>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36"/>
      </w:tblGrid>
      <w:tr w:rsidR="000F147E" w:rsidRPr="000F147E" w14:paraId="03F41EFB" w14:textId="77777777" w:rsidTr="00E9254D">
        <w:tc>
          <w:tcPr>
            <w:tcW w:w="4956" w:type="dxa"/>
          </w:tcPr>
          <w:p w14:paraId="1F237F39" w14:textId="0AF5B18D" w:rsidR="000F147E" w:rsidRPr="000F147E" w:rsidRDefault="000F147E" w:rsidP="00E9254D">
            <w:pPr>
              <w:autoSpaceDE w:val="0"/>
              <w:autoSpaceDN w:val="0"/>
              <w:adjustRightInd w:val="0"/>
              <w:jc w:val="center"/>
              <w:rPr>
                <w:rFonts w:ascii="Arial Narrow" w:hAnsi="Arial Narrow"/>
                <w:color w:val="1F497D"/>
                <w:sz w:val="22"/>
                <w:szCs w:val="22"/>
              </w:rPr>
            </w:pPr>
            <w:r w:rsidRPr="000F147E">
              <w:rPr>
                <w:rFonts w:ascii="Arial Narrow" w:hAnsi="Arial Narrow"/>
                <w:color w:val="1F497D"/>
                <w:sz w:val="22"/>
                <w:szCs w:val="22"/>
              </w:rPr>
              <w:t>Uomini</w:t>
            </w:r>
          </w:p>
        </w:tc>
        <w:tc>
          <w:tcPr>
            <w:tcW w:w="4956" w:type="dxa"/>
          </w:tcPr>
          <w:p w14:paraId="2FD470B2" w14:textId="30A01FD4" w:rsidR="000F147E" w:rsidRPr="000F147E" w:rsidRDefault="000F147E" w:rsidP="00E9254D">
            <w:pPr>
              <w:autoSpaceDE w:val="0"/>
              <w:autoSpaceDN w:val="0"/>
              <w:adjustRightInd w:val="0"/>
              <w:jc w:val="center"/>
              <w:rPr>
                <w:rFonts w:ascii="Arial Narrow" w:hAnsi="Arial Narrow"/>
                <w:color w:val="1F497D"/>
                <w:sz w:val="22"/>
                <w:szCs w:val="22"/>
              </w:rPr>
            </w:pPr>
            <w:r w:rsidRPr="000F147E">
              <w:rPr>
                <w:rFonts w:ascii="Arial Narrow" w:hAnsi="Arial Narrow"/>
                <w:color w:val="1F497D"/>
                <w:sz w:val="22"/>
                <w:szCs w:val="22"/>
              </w:rPr>
              <w:t>Donne</w:t>
            </w:r>
          </w:p>
        </w:tc>
      </w:tr>
      <w:tr w:rsidR="000F147E" w14:paraId="213FB474" w14:textId="77777777" w:rsidTr="00E9254D">
        <w:tc>
          <w:tcPr>
            <w:tcW w:w="4956" w:type="dxa"/>
          </w:tcPr>
          <w:p w14:paraId="47552D25" w14:textId="594E934D" w:rsidR="000F147E" w:rsidRDefault="000F147E" w:rsidP="00FB204E">
            <w:pPr>
              <w:autoSpaceDE w:val="0"/>
              <w:autoSpaceDN w:val="0"/>
              <w:adjustRightInd w:val="0"/>
              <w:rPr>
                <w:rFonts w:ascii="Arial Narrow" w:hAnsi="Arial Narrow"/>
                <w:color w:val="1F497D"/>
                <w:sz w:val="22"/>
                <w:szCs w:val="22"/>
              </w:rPr>
            </w:pPr>
            <w:r>
              <w:rPr>
                <w:noProof/>
              </w:rPr>
              <w:drawing>
                <wp:inline distT="0" distB="0" distL="0" distR="0" wp14:anchorId="3675CC9C" wp14:editId="60375C21">
                  <wp:extent cx="3028950" cy="1893886"/>
                  <wp:effectExtent l="0" t="0" r="0" b="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56" w:type="dxa"/>
          </w:tcPr>
          <w:p w14:paraId="29B1B37E" w14:textId="556DB45A" w:rsidR="000F147E" w:rsidRDefault="000F147E" w:rsidP="00FB204E">
            <w:pPr>
              <w:autoSpaceDE w:val="0"/>
              <w:autoSpaceDN w:val="0"/>
              <w:adjustRightInd w:val="0"/>
              <w:rPr>
                <w:rFonts w:ascii="Arial Narrow" w:hAnsi="Arial Narrow"/>
                <w:color w:val="1F497D"/>
                <w:sz w:val="22"/>
                <w:szCs w:val="22"/>
              </w:rPr>
            </w:pPr>
            <w:r>
              <w:rPr>
                <w:noProof/>
              </w:rPr>
              <w:drawing>
                <wp:inline distT="0" distB="0" distL="0" distR="0" wp14:anchorId="6CACCFF6" wp14:editId="3CB30674">
                  <wp:extent cx="2952750" cy="1876424"/>
                  <wp:effectExtent l="0" t="0" r="0" b="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58B08AFB" w14:textId="74D5F588" w:rsidR="0066209F" w:rsidRDefault="00E255EC" w:rsidP="0089585C">
      <w:pPr>
        <w:autoSpaceDE w:val="0"/>
        <w:autoSpaceDN w:val="0"/>
        <w:adjustRightInd w:val="0"/>
        <w:rPr>
          <w:rFonts w:ascii="Arial Narrow" w:hAnsi="Arial Narrow"/>
          <w:color w:val="1F497D"/>
          <w:sz w:val="22"/>
          <w:szCs w:val="22"/>
        </w:rPr>
      </w:pPr>
      <w:r>
        <w:rPr>
          <w:rFonts w:ascii="Arial" w:hAnsi="Arial" w:cs="Arial"/>
          <w:iCs/>
          <w:noProof/>
          <w:color w:val="1F497D" w:themeColor="text2"/>
          <w:sz w:val="22"/>
          <w:szCs w:val="22"/>
        </w:rPr>
        <w:br w:type="page"/>
      </w:r>
    </w:p>
    <w:p w14:paraId="11B372BD" w14:textId="77777777" w:rsidR="009621A7" w:rsidRDefault="009621A7" w:rsidP="00C76837">
      <w:pPr>
        <w:spacing w:after="120"/>
        <w:jc w:val="both"/>
        <w:outlineLvl w:val="0"/>
        <w:rPr>
          <w:rFonts w:ascii="Arial" w:hAnsi="Arial" w:cs="Arial"/>
          <w:sz w:val="22"/>
          <w:szCs w:val="22"/>
        </w:rPr>
      </w:pPr>
    </w:p>
    <w:p w14:paraId="5DCEF797" w14:textId="09761294" w:rsidR="00350F81" w:rsidRPr="003833B9" w:rsidRDefault="00350F81" w:rsidP="00C76837">
      <w:pPr>
        <w:spacing w:after="120"/>
        <w:jc w:val="both"/>
        <w:outlineLvl w:val="0"/>
        <w:rPr>
          <w:rFonts w:ascii="Arial" w:hAnsi="Arial" w:cs="Arial"/>
          <w:sz w:val="22"/>
          <w:szCs w:val="22"/>
        </w:rPr>
      </w:pPr>
      <w:r w:rsidRPr="003833B9">
        <w:rPr>
          <w:rFonts w:ascii="Arial" w:hAnsi="Arial" w:cs="Arial"/>
          <w:sz w:val="22"/>
          <w:szCs w:val="22"/>
        </w:rPr>
        <w:t xml:space="preserve">L’indicatore può essere calcolato considerando tutte le età da 16 anni compiuti in poi, oppure può essere riferito a un intervallo di età specifico. A tale proposito il calcolo dell’indicatore tra 16 e 49 anni, usualmente diffuso dall’Istat, consente il </w:t>
      </w:r>
      <w:r w:rsidRPr="003833B9">
        <w:rPr>
          <w:rFonts w:ascii="Arial" w:hAnsi="Arial" w:cs="Arial"/>
          <w:noProof/>
          <w:sz w:val="22"/>
          <w:szCs w:val="22"/>
        </w:rPr>
        <w:t>monitoraggio</w:t>
      </w:r>
      <w:r w:rsidRPr="003833B9">
        <w:rPr>
          <w:rFonts w:ascii="Arial" w:hAnsi="Arial" w:cs="Arial"/>
          <w:sz w:val="22"/>
          <w:szCs w:val="22"/>
        </w:rPr>
        <w:t xml:space="preserve"> dell’evoluzione dei processi di formazione delle nuove famiglie con riferimento alle stesse fasce di età in cui si misura l’intensità della fecondità. Tale indice segnala, in base a quanto registrato nel 20</w:t>
      </w:r>
      <w:r>
        <w:rPr>
          <w:rFonts w:ascii="Arial" w:hAnsi="Arial" w:cs="Arial"/>
          <w:sz w:val="22"/>
          <w:szCs w:val="22"/>
        </w:rPr>
        <w:t>20</w:t>
      </w:r>
      <w:r w:rsidRPr="003833B9">
        <w:rPr>
          <w:rFonts w:ascii="Arial" w:hAnsi="Arial" w:cs="Arial"/>
          <w:sz w:val="22"/>
          <w:szCs w:val="22"/>
        </w:rPr>
        <w:t xml:space="preserve">, un’intensità di </w:t>
      </w:r>
      <w:r>
        <w:rPr>
          <w:rFonts w:ascii="Arial" w:hAnsi="Arial" w:cs="Arial"/>
          <w:sz w:val="22"/>
          <w:szCs w:val="22"/>
        </w:rPr>
        <w:t>196</w:t>
      </w:r>
      <w:r w:rsidRPr="003833B9">
        <w:rPr>
          <w:rFonts w:ascii="Arial" w:hAnsi="Arial" w:cs="Arial"/>
          <w:sz w:val="22"/>
          <w:szCs w:val="22"/>
        </w:rPr>
        <w:t xml:space="preserve"> primi matrimoni per 1.000 uomini e </w:t>
      </w:r>
      <w:r>
        <w:rPr>
          <w:rFonts w:ascii="Arial" w:hAnsi="Arial" w:cs="Arial"/>
          <w:sz w:val="22"/>
          <w:szCs w:val="22"/>
        </w:rPr>
        <w:t xml:space="preserve">220 </w:t>
      </w:r>
      <w:r w:rsidRPr="003833B9">
        <w:rPr>
          <w:rFonts w:ascii="Arial" w:hAnsi="Arial" w:cs="Arial"/>
          <w:sz w:val="22"/>
          <w:szCs w:val="22"/>
        </w:rPr>
        <w:t xml:space="preserve">per 1.000 donne; valori </w:t>
      </w:r>
      <w:r>
        <w:rPr>
          <w:rFonts w:ascii="Arial" w:hAnsi="Arial" w:cs="Arial"/>
          <w:sz w:val="22"/>
          <w:szCs w:val="22"/>
        </w:rPr>
        <w:t>più che dimezzati rispetto all’anno precedente (Figura 3)</w:t>
      </w:r>
      <w:r w:rsidRPr="003833B9">
        <w:rPr>
          <w:rFonts w:ascii="Arial" w:hAnsi="Arial" w:cs="Arial"/>
          <w:sz w:val="22"/>
          <w:szCs w:val="22"/>
        </w:rPr>
        <w:t>.</w:t>
      </w:r>
    </w:p>
    <w:p w14:paraId="67FD5649" w14:textId="703960D5" w:rsidR="00350F81" w:rsidRPr="003833B9" w:rsidRDefault="0079194F" w:rsidP="00C76837">
      <w:pPr>
        <w:spacing w:after="120"/>
        <w:jc w:val="both"/>
        <w:outlineLvl w:val="0"/>
        <w:rPr>
          <w:rFonts w:ascii="Arial" w:hAnsi="Arial" w:cs="Arial"/>
          <w:sz w:val="22"/>
          <w:szCs w:val="22"/>
        </w:rPr>
      </w:pPr>
      <w:r>
        <w:rPr>
          <w:rFonts w:ascii="Arial" w:hAnsi="Arial" w:cs="Arial"/>
          <w:sz w:val="22"/>
          <w:szCs w:val="22"/>
        </w:rPr>
        <w:t>L</w:t>
      </w:r>
      <w:r w:rsidRPr="00DA088F">
        <w:rPr>
          <w:rFonts w:ascii="Arial" w:hAnsi="Arial" w:cs="Arial"/>
          <w:sz w:val="22"/>
          <w:szCs w:val="22"/>
        </w:rPr>
        <w:t xml:space="preserve">a diminuzione della nuzialità </w:t>
      </w:r>
      <w:r>
        <w:rPr>
          <w:rFonts w:ascii="Arial" w:hAnsi="Arial" w:cs="Arial"/>
          <w:sz w:val="22"/>
          <w:szCs w:val="22"/>
        </w:rPr>
        <w:t>p</w:t>
      </w:r>
      <w:r w:rsidR="00350F81" w:rsidRPr="00DA088F">
        <w:rPr>
          <w:rFonts w:ascii="Arial" w:hAnsi="Arial" w:cs="Arial"/>
          <w:sz w:val="22"/>
          <w:szCs w:val="22"/>
        </w:rPr>
        <w:t xml:space="preserve">ersiste e si accentua nel 2020 soprattutto </w:t>
      </w:r>
      <w:r>
        <w:rPr>
          <w:rFonts w:ascii="Arial" w:hAnsi="Arial" w:cs="Arial"/>
          <w:sz w:val="22"/>
          <w:szCs w:val="22"/>
        </w:rPr>
        <w:t>tra i</w:t>
      </w:r>
      <w:r w:rsidRPr="00DA088F">
        <w:rPr>
          <w:rFonts w:ascii="Arial" w:hAnsi="Arial" w:cs="Arial"/>
          <w:sz w:val="22"/>
          <w:szCs w:val="22"/>
        </w:rPr>
        <w:t xml:space="preserve"> </w:t>
      </w:r>
      <w:r w:rsidR="00350F81" w:rsidRPr="00DA088F">
        <w:rPr>
          <w:rFonts w:ascii="Arial" w:hAnsi="Arial" w:cs="Arial"/>
          <w:sz w:val="22"/>
          <w:szCs w:val="22"/>
        </w:rPr>
        <w:t>più giovani. Rispetto al 2019 la propensione a sposarsi per la prima volta scende del 54%</w:t>
      </w:r>
      <w:r>
        <w:rPr>
          <w:rFonts w:ascii="Arial" w:hAnsi="Arial" w:cs="Arial"/>
          <w:sz w:val="22"/>
          <w:szCs w:val="22"/>
        </w:rPr>
        <w:t xml:space="preserve"> </w:t>
      </w:r>
      <w:r w:rsidRPr="00DA088F">
        <w:rPr>
          <w:rFonts w:ascii="Arial" w:hAnsi="Arial" w:cs="Arial"/>
          <w:sz w:val="22"/>
          <w:szCs w:val="22"/>
        </w:rPr>
        <w:t>fino a 34 anni</w:t>
      </w:r>
      <w:r w:rsidR="00350F81" w:rsidRPr="00DA088F">
        <w:rPr>
          <w:rFonts w:ascii="Arial" w:hAnsi="Arial" w:cs="Arial"/>
          <w:sz w:val="22"/>
          <w:szCs w:val="22"/>
        </w:rPr>
        <w:t xml:space="preserve">, mentre a partire dai 35 anni </w:t>
      </w:r>
      <w:r>
        <w:rPr>
          <w:rFonts w:ascii="Arial" w:hAnsi="Arial" w:cs="Arial"/>
          <w:sz w:val="22"/>
          <w:szCs w:val="22"/>
        </w:rPr>
        <w:t>il calo</w:t>
      </w:r>
      <w:r w:rsidR="00350F81" w:rsidRPr="00DA088F">
        <w:rPr>
          <w:rFonts w:ascii="Arial" w:hAnsi="Arial" w:cs="Arial"/>
          <w:sz w:val="22"/>
          <w:szCs w:val="22"/>
        </w:rPr>
        <w:t xml:space="preserve"> è del 49% e </w:t>
      </w:r>
      <w:r>
        <w:rPr>
          <w:rFonts w:ascii="Arial" w:hAnsi="Arial" w:cs="Arial"/>
          <w:sz w:val="22"/>
          <w:szCs w:val="22"/>
        </w:rPr>
        <w:t xml:space="preserve">del </w:t>
      </w:r>
      <w:r w:rsidR="00350F81" w:rsidRPr="00DA088F">
        <w:rPr>
          <w:rFonts w:ascii="Arial" w:hAnsi="Arial" w:cs="Arial"/>
          <w:sz w:val="22"/>
          <w:szCs w:val="22"/>
        </w:rPr>
        <w:t>45%, rispettivamente per uomini e donne.</w:t>
      </w:r>
      <w:r w:rsidR="00350F81">
        <w:rPr>
          <w:rFonts w:ascii="Arial" w:hAnsi="Arial" w:cs="Arial"/>
          <w:sz w:val="22"/>
          <w:szCs w:val="22"/>
        </w:rPr>
        <w:t xml:space="preserve"> </w:t>
      </w:r>
    </w:p>
    <w:p w14:paraId="7CE42713" w14:textId="4714E70F" w:rsidR="00350F81" w:rsidRDefault="00350F81" w:rsidP="00E9254D">
      <w:pPr>
        <w:autoSpaceDE w:val="0"/>
        <w:autoSpaceDN w:val="0"/>
        <w:adjustRightInd w:val="0"/>
        <w:spacing w:after="120"/>
        <w:jc w:val="both"/>
        <w:rPr>
          <w:rFonts w:ascii="Arial Black" w:hAnsi="Arial Black" w:cs="Arial"/>
          <w:iCs/>
          <w:noProof/>
          <w:color w:val="1F497D" w:themeColor="text2"/>
          <w:sz w:val="22"/>
          <w:szCs w:val="22"/>
        </w:rPr>
      </w:pPr>
      <w:r>
        <w:rPr>
          <w:rFonts w:ascii="Arial" w:hAnsi="Arial" w:cs="Arial"/>
          <w:sz w:val="22"/>
          <w:szCs w:val="22"/>
        </w:rPr>
        <w:t xml:space="preserve">L’effetto della pandemia è stato dunque una ulteriore accentuazione del </w:t>
      </w:r>
      <w:r w:rsidRPr="00393E17">
        <w:rPr>
          <w:rFonts w:ascii="Arial" w:hAnsi="Arial" w:cs="Arial"/>
          <w:sz w:val="22"/>
          <w:szCs w:val="22"/>
        </w:rPr>
        <w:t>rinvio delle prime nozze</w:t>
      </w:r>
      <w:r w:rsidR="0079194F">
        <w:rPr>
          <w:rFonts w:ascii="Arial" w:hAnsi="Arial" w:cs="Arial"/>
          <w:sz w:val="22"/>
          <w:szCs w:val="22"/>
        </w:rPr>
        <w:t>.</w:t>
      </w:r>
      <w:r w:rsidRPr="00393E17">
        <w:rPr>
          <w:rFonts w:ascii="Arial" w:hAnsi="Arial" w:cs="Arial"/>
          <w:sz w:val="22"/>
          <w:szCs w:val="22"/>
        </w:rPr>
        <w:t xml:space="preserve"> </w:t>
      </w:r>
      <w:r w:rsidR="0079194F">
        <w:rPr>
          <w:rFonts w:ascii="Arial" w:hAnsi="Arial" w:cs="Arial"/>
          <w:sz w:val="22"/>
          <w:szCs w:val="22"/>
        </w:rPr>
        <w:t>N</w:t>
      </w:r>
      <w:r>
        <w:rPr>
          <w:rFonts w:ascii="Arial" w:hAnsi="Arial" w:cs="Arial"/>
          <w:sz w:val="22"/>
          <w:szCs w:val="22"/>
        </w:rPr>
        <w:t xml:space="preserve">el 2020 </w:t>
      </w:r>
      <w:r w:rsidRPr="00393E17">
        <w:rPr>
          <w:rFonts w:ascii="Arial" w:hAnsi="Arial" w:cs="Arial"/>
          <w:sz w:val="22"/>
          <w:szCs w:val="22"/>
        </w:rPr>
        <w:t>per i primi matrimoni entro i 49 anni di età gli uomini hanno in media 34,1 anni e le donne 32,0</w:t>
      </w:r>
      <w:r>
        <w:rPr>
          <w:rFonts w:ascii="Arial" w:hAnsi="Arial" w:cs="Arial"/>
          <w:sz w:val="22"/>
          <w:szCs w:val="22"/>
        </w:rPr>
        <w:t>.</w:t>
      </w:r>
    </w:p>
    <w:p w14:paraId="53A21F8E" w14:textId="1910C942" w:rsidR="000962ED" w:rsidRPr="00685AB5" w:rsidRDefault="000962ED" w:rsidP="00C76837">
      <w:pPr>
        <w:spacing w:after="120"/>
        <w:jc w:val="both"/>
        <w:outlineLvl w:val="0"/>
        <w:rPr>
          <w:rFonts w:ascii="Arial" w:hAnsi="Arial" w:cs="Arial"/>
          <w:sz w:val="22"/>
          <w:szCs w:val="22"/>
        </w:rPr>
      </w:pPr>
    </w:p>
    <w:p w14:paraId="52B80686" w14:textId="6D8FB5AC" w:rsidR="00935509" w:rsidRPr="002D0AB5" w:rsidRDefault="00BC1E70" w:rsidP="00C76837">
      <w:pPr>
        <w:spacing w:after="120"/>
        <w:jc w:val="both"/>
        <w:outlineLvl w:val="0"/>
        <w:rPr>
          <w:rFonts w:ascii="Arial" w:hAnsi="Arial" w:cs="Arial"/>
          <w:b/>
          <w:color w:val="1F497D" w:themeColor="text2"/>
          <w:sz w:val="26"/>
          <w:szCs w:val="26"/>
        </w:rPr>
      </w:pPr>
      <w:r w:rsidRPr="002D0AB5">
        <w:rPr>
          <w:rFonts w:ascii="Arial" w:hAnsi="Arial" w:cs="Arial"/>
          <w:b/>
          <w:color w:val="1F497D" w:themeColor="text2"/>
          <w:sz w:val="26"/>
          <w:szCs w:val="26"/>
        </w:rPr>
        <w:t xml:space="preserve">Unioni civili </w:t>
      </w:r>
      <w:r w:rsidR="001537A3" w:rsidRPr="002D0AB5">
        <w:rPr>
          <w:rFonts w:ascii="Arial" w:hAnsi="Arial" w:cs="Arial"/>
          <w:b/>
          <w:color w:val="1F497D" w:themeColor="text2"/>
          <w:sz w:val="26"/>
          <w:szCs w:val="26"/>
        </w:rPr>
        <w:t xml:space="preserve">più diffuse </w:t>
      </w:r>
      <w:r w:rsidR="00CC4DB0" w:rsidRPr="002D0AB5">
        <w:rPr>
          <w:rFonts w:ascii="Arial" w:hAnsi="Arial" w:cs="Arial"/>
          <w:b/>
          <w:color w:val="1F497D" w:themeColor="text2"/>
          <w:sz w:val="26"/>
          <w:szCs w:val="26"/>
        </w:rPr>
        <w:t xml:space="preserve">nel </w:t>
      </w:r>
      <w:r w:rsidR="001537A3" w:rsidRPr="002D0AB5">
        <w:rPr>
          <w:rFonts w:ascii="Arial" w:hAnsi="Arial" w:cs="Arial"/>
          <w:b/>
          <w:color w:val="1F497D" w:themeColor="text2"/>
          <w:sz w:val="26"/>
          <w:szCs w:val="26"/>
        </w:rPr>
        <w:t xml:space="preserve">Nord-ovest </w:t>
      </w:r>
    </w:p>
    <w:p w14:paraId="494E651D" w14:textId="0818A455" w:rsidR="001567B2" w:rsidRPr="00FA1FFF" w:rsidRDefault="001567B2" w:rsidP="00C76837">
      <w:pPr>
        <w:spacing w:after="120"/>
        <w:jc w:val="both"/>
        <w:outlineLvl w:val="0"/>
        <w:rPr>
          <w:rFonts w:ascii="Arial" w:hAnsi="Arial" w:cs="Arial"/>
          <w:sz w:val="22"/>
          <w:szCs w:val="22"/>
        </w:rPr>
      </w:pPr>
      <w:r w:rsidRPr="00FA1FFF">
        <w:rPr>
          <w:rFonts w:ascii="Arial" w:hAnsi="Arial" w:cs="Arial"/>
          <w:sz w:val="22"/>
          <w:szCs w:val="22"/>
        </w:rPr>
        <w:t xml:space="preserve">Il 5 giugno 2016 è entrata in vigore la </w:t>
      </w:r>
      <w:r w:rsidR="0079194F">
        <w:rPr>
          <w:rFonts w:ascii="Arial" w:hAnsi="Arial" w:cs="Arial"/>
          <w:sz w:val="22"/>
          <w:szCs w:val="22"/>
        </w:rPr>
        <w:t>l</w:t>
      </w:r>
      <w:r w:rsidRPr="00FA1FFF">
        <w:rPr>
          <w:rFonts w:ascii="Arial" w:hAnsi="Arial" w:cs="Arial"/>
          <w:sz w:val="22"/>
          <w:szCs w:val="22"/>
        </w:rPr>
        <w:t>egge che ha introdotto in Italia l'istituto dell'unione civile tra persone dello stesso sesso.</w:t>
      </w:r>
      <w:r w:rsidRPr="00FA1FFF">
        <w:rPr>
          <w:rStyle w:val="Rimandonotadichiusura"/>
          <w:rFonts w:ascii="Arial" w:hAnsi="Arial" w:cs="Arial"/>
          <w:sz w:val="22"/>
          <w:szCs w:val="22"/>
        </w:rPr>
        <w:endnoteReference w:id="6"/>
      </w:r>
      <w:r w:rsidR="00F37C9D" w:rsidRPr="00FA1FFF">
        <w:rPr>
          <w:rFonts w:ascii="Arial" w:hAnsi="Arial" w:cs="Arial"/>
          <w:sz w:val="22"/>
          <w:szCs w:val="22"/>
        </w:rPr>
        <w:t xml:space="preserve"> N</w:t>
      </w:r>
      <w:r w:rsidRPr="00FA1FFF">
        <w:rPr>
          <w:rFonts w:ascii="Arial" w:hAnsi="Arial" w:cs="Arial"/>
          <w:sz w:val="22"/>
          <w:szCs w:val="22"/>
        </w:rPr>
        <w:t xml:space="preserve">el corso del secondo semestre 2016 si sono costituite 2.336 unioni civili, un numero particolarmente consistente che ha riguardato coppie da tempo in attesa di ufficializzare il proprio legame affettivo. Al </w:t>
      </w:r>
      <w:r w:rsidRPr="00E9254D">
        <w:rPr>
          <w:rFonts w:ascii="Arial" w:hAnsi="Arial" w:cs="Arial"/>
          <w:i/>
          <w:iCs/>
          <w:sz w:val="22"/>
          <w:szCs w:val="22"/>
        </w:rPr>
        <w:t>boom</w:t>
      </w:r>
      <w:r w:rsidRPr="00FA1FFF">
        <w:rPr>
          <w:rFonts w:ascii="Arial" w:hAnsi="Arial" w:cs="Arial"/>
          <w:sz w:val="22"/>
          <w:szCs w:val="22"/>
        </w:rPr>
        <w:t xml:space="preserve"> iniziale ha fatto poi seguito un</w:t>
      </w:r>
      <w:r w:rsidR="00AE3B22" w:rsidRPr="00FA1FFF">
        <w:rPr>
          <w:rFonts w:ascii="Arial" w:hAnsi="Arial" w:cs="Arial"/>
          <w:sz w:val="22"/>
          <w:szCs w:val="22"/>
        </w:rPr>
        <w:t>a</w:t>
      </w:r>
      <w:r w:rsidRPr="00FA1FFF">
        <w:rPr>
          <w:rFonts w:ascii="Arial" w:hAnsi="Arial" w:cs="Arial"/>
          <w:sz w:val="22"/>
          <w:szCs w:val="22"/>
        </w:rPr>
        <w:t xml:space="preserve"> progressiv</w:t>
      </w:r>
      <w:r w:rsidR="00AE3B22" w:rsidRPr="00FA1FFF">
        <w:rPr>
          <w:rFonts w:ascii="Arial" w:hAnsi="Arial" w:cs="Arial"/>
          <w:sz w:val="22"/>
          <w:szCs w:val="22"/>
        </w:rPr>
        <w:t>a</w:t>
      </w:r>
      <w:r w:rsidRPr="00FA1FFF">
        <w:rPr>
          <w:rFonts w:ascii="Arial" w:hAnsi="Arial" w:cs="Arial"/>
          <w:sz w:val="22"/>
          <w:szCs w:val="22"/>
        </w:rPr>
        <w:t xml:space="preserve"> </w:t>
      </w:r>
      <w:r w:rsidR="00AE3B22" w:rsidRPr="00FA1FFF">
        <w:rPr>
          <w:rFonts w:ascii="Arial" w:hAnsi="Arial" w:cs="Arial"/>
          <w:sz w:val="22"/>
          <w:szCs w:val="22"/>
        </w:rPr>
        <w:t>stabilizzazione</w:t>
      </w:r>
      <w:r w:rsidRPr="00FA1FFF">
        <w:rPr>
          <w:rFonts w:ascii="Arial" w:hAnsi="Arial" w:cs="Arial"/>
          <w:sz w:val="22"/>
          <w:szCs w:val="22"/>
        </w:rPr>
        <w:t>.</w:t>
      </w:r>
    </w:p>
    <w:p w14:paraId="1D65D616" w14:textId="3464F751" w:rsidR="002D5E31" w:rsidRPr="00DA2FD3" w:rsidRDefault="0052794B" w:rsidP="00C76837">
      <w:pPr>
        <w:spacing w:after="120"/>
        <w:jc w:val="both"/>
        <w:outlineLvl w:val="0"/>
        <w:rPr>
          <w:rFonts w:ascii="Arial" w:hAnsi="Arial" w:cs="Arial"/>
          <w:sz w:val="22"/>
          <w:szCs w:val="22"/>
        </w:rPr>
      </w:pPr>
      <w:r w:rsidRPr="00DA2FD3">
        <w:rPr>
          <w:rFonts w:ascii="Arial" w:hAnsi="Arial" w:cs="Arial"/>
          <w:sz w:val="22"/>
          <w:szCs w:val="22"/>
        </w:rPr>
        <w:t xml:space="preserve">Nel </w:t>
      </w:r>
      <w:r w:rsidR="00935509" w:rsidRPr="00DA2FD3">
        <w:rPr>
          <w:rFonts w:ascii="Arial" w:hAnsi="Arial" w:cs="Arial"/>
          <w:sz w:val="22"/>
          <w:szCs w:val="22"/>
        </w:rPr>
        <w:t>20</w:t>
      </w:r>
      <w:r w:rsidR="002D0AB5" w:rsidRPr="00DA2FD3">
        <w:rPr>
          <w:rFonts w:ascii="Arial" w:hAnsi="Arial" w:cs="Arial"/>
          <w:sz w:val="22"/>
          <w:szCs w:val="22"/>
        </w:rPr>
        <w:t>20</w:t>
      </w:r>
      <w:r w:rsidR="00935509" w:rsidRPr="00DA2FD3">
        <w:rPr>
          <w:rFonts w:ascii="Arial" w:hAnsi="Arial" w:cs="Arial"/>
          <w:sz w:val="22"/>
          <w:szCs w:val="22"/>
        </w:rPr>
        <w:t xml:space="preserve"> sono state costituite </w:t>
      </w:r>
      <w:r w:rsidR="002D0AB5" w:rsidRPr="00DA2FD3">
        <w:rPr>
          <w:rFonts w:ascii="Arial" w:hAnsi="Arial" w:cs="Arial"/>
          <w:sz w:val="22"/>
          <w:szCs w:val="22"/>
        </w:rPr>
        <w:t>1.539</w:t>
      </w:r>
      <w:r w:rsidR="00935509" w:rsidRPr="00DA2FD3">
        <w:rPr>
          <w:rFonts w:ascii="Arial" w:hAnsi="Arial" w:cs="Arial"/>
          <w:sz w:val="22"/>
          <w:szCs w:val="22"/>
        </w:rPr>
        <w:t xml:space="preserve"> unioni civili</w:t>
      </w:r>
      <w:r w:rsidR="00F31FBB" w:rsidRPr="00DA2FD3">
        <w:rPr>
          <w:rFonts w:ascii="Arial" w:hAnsi="Arial" w:cs="Arial"/>
          <w:sz w:val="22"/>
          <w:szCs w:val="22"/>
        </w:rPr>
        <w:t xml:space="preserve"> (tra coppie dello stesso sesso)</w:t>
      </w:r>
      <w:r w:rsidR="00A972EB">
        <w:rPr>
          <w:rFonts w:ascii="Arial" w:hAnsi="Arial" w:cs="Arial"/>
          <w:sz w:val="22"/>
          <w:szCs w:val="22"/>
        </w:rPr>
        <w:t xml:space="preserve"> presso gli Uffici di Stato C</w:t>
      </w:r>
      <w:r w:rsidR="00935509" w:rsidRPr="00DA2FD3">
        <w:rPr>
          <w:rFonts w:ascii="Arial" w:hAnsi="Arial" w:cs="Arial"/>
          <w:sz w:val="22"/>
          <w:szCs w:val="22"/>
        </w:rPr>
        <w:t xml:space="preserve">ivile dei </w:t>
      </w:r>
      <w:r w:rsidR="00451972">
        <w:rPr>
          <w:rFonts w:ascii="Arial" w:hAnsi="Arial" w:cs="Arial"/>
          <w:sz w:val="22"/>
          <w:szCs w:val="22"/>
        </w:rPr>
        <w:t>C</w:t>
      </w:r>
      <w:r w:rsidR="00935509" w:rsidRPr="00DA2FD3">
        <w:rPr>
          <w:rFonts w:ascii="Arial" w:hAnsi="Arial" w:cs="Arial"/>
          <w:sz w:val="22"/>
          <w:szCs w:val="22"/>
        </w:rPr>
        <w:t>omuni italiani. Queste si vanno a sommare a quelle già costituite nel corso del secondo semestr</w:t>
      </w:r>
      <w:r w:rsidR="0089404A" w:rsidRPr="00DA2FD3">
        <w:rPr>
          <w:rFonts w:ascii="Arial" w:hAnsi="Arial" w:cs="Arial"/>
          <w:sz w:val="22"/>
          <w:szCs w:val="22"/>
        </w:rPr>
        <w:t>e 2016</w:t>
      </w:r>
      <w:r w:rsidR="002D0AB5" w:rsidRPr="00DA2FD3">
        <w:rPr>
          <w:rFonts w:ascii="Arial" w:hAnsi="Arial" w:cs="Arial"/>
          <w:sz w:val="22"/>
          <w:szCs w:val="22"/>
        </w:rPr>
        <w:t>, nel</w:t>
      </w:r>
      <w:r w:rsidR="0089404A" w:rsidRPr="00DA2FD3">
        <w:rPr>
          <w:rFonts w:ascii="Arial" w:hAnsi="Arial" w:cs="Arial"/>
          <w:sz w:val="22"/>
          <w:szCs w:val="22"/>
        </w:rPr>
        <w:t xml:space="preserve"> 2017 </w:t>
      </w:r>
      <w:r w:rsidR="00935509" w:rsidRPr="00DA2FD3">
        <w:rPr>
          <w:rFonts w:ascii="Arial" w:hAnsi="Arial" w:cs="Arial"/>
          <w:sz w:val="22"/>
          <w:szCs w:val="22"/>
        </w:rPr>
        <w:t>(4.376)</w:t>
      </w:r>
      <w:r w:rsidR="00B13416" w:rsidRPr="00DA2FD3">
        <w:rPr>
          <w:rStyle w:val="Rimandonotadichiusura"/>
          <w:rFonts w:ascii="Arial" w:hAnsi="Arial" w:cs="Arial"/>
          <w:sz w:val="22"/>
          <w:szCs w:val="22"/>
        </w:rPr>
        <w:endnoteReference w:id="7"/>
      </w:r>
      <w:r w:rsidR="00EA5BD9" w:rsidRPr="00DA2FD3">
        <w:rPr>
          <w:rFonts w:ascii="Arial" w:hAnsi="Arial" w:cs="Arial"/>
          <w:sz w:val="22"/>
          <w:szCs w:val="22"/>
        </w:rPr>
        <w:t xml:space="preserve"> </w:t>
      </w:r>
      <w:r w:rsidR="002D0AB5" w:rsidRPr="00DA2FD3">
        <w:rPr>
          <w:rFonts w:ascii="Arial" w:hAnsi="Arial" w:cs="Arial"/>
          <w:sz w:val="22"/>
          <w:szCs w:val="22"/>
        </w:rPr>
        <w:t xml:space="preserve">nel </w:t>
      </w:r>
      <w:r w:rsidR="00EA5BD9" w:rsidRPr="00DA2FD3">
        <w:rPr>
          <w:rFonts w:ascii="Arial" w:hAnsi="Arial" w:cs="Arial"/>
          <w:sz w:val="22"/>
          <w:szCs w:val="22"/>
        </w:rPr>
        <w:t>2018 (2.808)</w:t>
      </w:r>
      <w:r w:rsidR="002D0AB5" w:rsidRPr="00DA2FD3">
        <w:rPr>
          <w:rFonts w:ascii="Arial" w:hAnsi="Arial" w:cs="Arial"/>
          <w:sz w:val="22"/>
          <w:szCs w:val="22"/>
        </w:rPr>
        <w:t xml:space="preserve"> e nel 2019 (2.297)</w:t>
      </w:r>
      <w:r w:rsidR="00935509" w:rsidRPr="00DA2FD3">
        <w:rPr>
          <w:rFonts w:ascii="Arial" w:hAnsi="Arial" w:cs="Arial"/>
          <w:sz w:val="22"/>
          <w:szCs w:val="22"/>
        </w:rPr>
        <w:t xml:space="preserve">. </w:t>
      </w:r>
      <w:r w:rsidR="00AE3B22" w:rsidRPr="00DA2FD3">
        <w:rPr>
          <w:rFonts w:ascii="Arial" w:hAnsi="Arial" w:cs="Arial"/>
          <w:sz w:val="22"/>
          <w:szCs w:val="22"/>
        </w:rPr>
        <w:t xml:space="preserve">Il calo registrato nel 2020 </w:t>
      </w:r>
      <w:r w:rsidR="00DA4456">
        <w:rPr>
          <w:rFonts w:ascii="Arial" w:hAnsi="Arial" w:cs="Arial"/>
          <w:sz w:val="22"/>
          <w:szCs w:val="22"/>
        </w:rPr>
        <w:br/>
      </w:r>
      <w:r w:rsidR="00AE3B22" w:rsidRPr="00DA2FD3">
        <w:rPr>
          <w:rFonts w:ascii="Arial" w:hAnsi="Arial" w:cs="Arial"/>
          <w:sz w:val="22"/>
          <w:szCs w:val="22"/>
        </w:rPr>
        <w:t xml:space="preserve">(-33,0%) accentua </w:t>
      </w:r>
      <w:r w:rsidR="004D6A05">
        <w:rPr>
          <w:rFonts w:ascii="Arial" w:hAnsi="Arial" w:cs="Arial"/>
          <w:sz w:val="22"/>
          <w:szCs w:val="22"/>
        </w:rPr>
        <w:t>il</w:t>
      </w:r>
      <w:r w:rsidR="00AE3B22" w:rsidRPr="00DA2FD3">
        <w:rPr>
          <w:rFonts w:ascii="Arial" w:hAnsi="Arial" w:cs="Arial"/>
          <w:sz w:val="22"/>
          <w:szCs w:val="22"/>
        </w:rPr>
        <w:t xml:space="preserve"> trend d</w:t>
      </w:r>
      <w:r w:rsidR="004D6A05">
        <w:rPr>
          <w:rFonts w:ascii="Arial" w:hAnsi="Arial" w:cs="Arial"/>
          <w:sz w:val="22"/>
          <w:szCs w:val="22"/>
        </w:rPr>
        <w:t>ecrescente già in atto</w:t>
      </w:r>
      <w:r w:rsidR="00935509" w:rsidRPr="00DA2FD3">
        <w:rPr>
          <w:rFonts w:ascii="Arial" w:hAnsi="Arial" w:cs="Arial"/>
          <w:sz w:val="22"/>
          <w:szCs w:val="22"/>
        </w:rPr>
        <w:t>.</w:t>
      </w:r>
    </w:p>
    <w:p w14:paraId="53B15F94" w14:textId="24EE60C2" w:rsidR="00803AE3" w:rsidRPr="00C90630" w:rsidRDefault="004E1EE3" w:rsidP="00C76837">
      <w:pPr>
        <w:spacing w:after="120"/>
        <w:jc w:val="both"/>
        <w:outlineLvl w:val="0"/>
        <w:rPr>
          <w:rFonts w:ascii="Arial" w:hAnsi="Arial" w:cs="Arial"/>
          <w:sz w:val="22"/>
          <w:szCs w:val="22"/>
        </w:rPr>
      </w:pPr>
      <w:r w:rsidRPr="00DA2FD3">
        <w:rPr>
          <w:rFonts w:ascii="Arial" w:hAnsi="Arial" w:cs="Arial"/>
          <w:sz w:val="22"/>
          <w:szCs w:val="22"/>
        </w:rPr>
        <w:t>Il 3</w:t>
      </w:r>
      <w:r w:rsidR="00C90630" w:rsidRPr="00DA2FD3">
        <w:rPr>
          <w:rFonts w:ascii="Arial" w:hAnsi="Arial" w:cs="Arial"/>
          <w:sz w:val="22"/>
          <w:szCs w:val="22"/>
        </w:rPr>
        <w:t>5</w:t>
      </w:r>
      <w:r w:rsidRPr="00DA2FD3">
        <w:rPr>
          <w:rFonts w:ascii="Arial" w:hAnsi="Arial" w:cs="Arial"/>
          <w:sz w:val="22"/>
          <w:szCs w:val="22"/>
        </w:rPr>
        <w:t>,</w:t>
      </w:r>
      <w:r w:rsidR="00C90630" w:rsidRPr="00DA2FD3">
        <w:rPr>
          <w:rFonts w:ascii="Arial" w:hAnsi="Arial" w:cs="Arial"/>
          <w:sz w:val="22"/>
          <w:szCs w:val="22"/>
        </w:rPr>
        <w:t>0</w:t>
      </w:r>
      <w:r w:rsidRPr="00DA2FD3">
        <w:rPr>
          <w:rFonts w:ascii="Arial" w:hAnsi="Arial" w:cs="Arial"/>
          <w:sz w:val="22"/>
          <w:szCs w:val="22"/>
        </w:rPr>
        <w:t xml:space="preserve">% </w:t>
      </w:r>
      <w:r w:rsidR="002D5E31" w:rsidRPr="00DA2FD3">
        <w:rPr>
          <w:rFonts w:ascii="Arial" w:hAnsi="Arial" w:cs="Arial"/>
          <w:sz w:val="22"/>
          <w:szCs w:val="22"/>
        </w:rPr>
        <w:t xml:space="preserve">delle unioni civili </w:t>
      </w:r>
      <w:r w:rsidR="00617C01" w:rsidRPr="00DA2FD3">
        <w:rPr>
          <w:rFonts w:ascii="Arial" w:hAnsi="Arial" w:cs="Arial"/>
          <w:sz w:val="22"/>
          <w:szCs w:val="22"/>
        </w:rPr>
        <w:t>è</w:t>
      </w:r>
      <w:r w:rsidR="002D5E31" w:rsidRPr="00DA2FD3">
        <w:rPr>
          <w:rFonts w:ascii="Arial" w:hAnsi="Arial" w:cs="Arial"/>
          <w:sz w:val="22"/>
          <w:szCs w:val="22"/>
        </w:rPr>
        <w:t xml:space="preserve"> </w:t>
      </w:r>
      <w:r w:rsidRPr="00DA2FD3">
        <w:rPr>
          <w:rFonts w:ascii="Arial" w:hAnsi="Arial" w:cs="Arial"/>
          <w:sz w:val="22"/>
          <w:szCs w:val="22"/>
        </w:rPr>
        <w:t xml:space="preserve">nel </w:t>
      </w:r>
      <w:r w:rsidR="002D5E31" w:rsidRPr="00DA2FD3">
        <w:rPr>
          <w:rFonts w:ascii="Arial" w:hAnsi="Arial" w:cs="Arial"/>
          <w:sz w:val="22"/>
          <w:szCs w:val="22"/>
        </w:rPr>
        <w:t>Nord-ovest</w:t>
      </w:r>
      <w:r w:rsidRPr="00DA2FD3">
        <w:rPr>
          <w:rFonts w:ascii="Arial" w:hAnsi="Arial" w:cs="Arial"/>
          <w:sz w:val="22"/>
          <w:szCs w:val="22"/>
        </w:rPr>
        <w:t>, seguito dal Centro (2</w:t>
      </w:r>
      <w:r w:rsidR="00C90630" w:rsidRPr="00DA2FD3">
        <w:rPr>
          <w:rFonts w:ascii="Arial" w:hAnsi="Arial" w:cs="Arial"/>
          <w:sz w:val="22"/>
          <w:szCs w:val="22"/>
        </w:rPr>
        <w:t>9</w:t>
      </w:r>
      <w:r w:rsidRPr="00DA2FD3">
        <w:rPr>
          <w:rFonts w:ascii="Arial" w:hAnsi="Arial" w:cs="Arial"/>
          <w:sz w:val="22"/>
          <w:szCs w:val="22"/>
        </w:rPr>
        <w:t>,</w:t>
      </w:r>
      <w:r w:rsidR="00C90630" w:rsidRPr="00DA2FD3">
        <w:rPr>
          <w:rFonts w:ascii="Arial" w:hAnsi="Arial" w:cs="Arial"/>
          <w:sz w:val="22"/>
          <w:szCs w:val="22"/>
        </w:rPr>
        <w:t>0</w:t>
      </w:r>
      <w:r w:rsidR="007D1BE8" w:rsidRPr="00DA2FD3">
        <w:rPr>
          <w:rFonts w:ascii="Arial" w:hAnsi="Arial" w:cs="Arial"/>
          <w:sz w:val="22"/>
          <w:szCs w:val="22"/>
        </w:rPr>
        <w:t>%</w:t>
      </w:r>
      <w:r w:rsidRPr="00DA2FD3">
        <w:rPr>
          <w:rFonts w:ascii="Arial" w:hAnsi="Arial" w:cs="Arial"/>
          <w:sz w:val="22"/>
          <w:szCs w:val="22"/>
        </w:rPr>
        <w:t xml:space="preserve">). </w:t>
      </w:r>
      <w:r w:rsidR="00706D3D" w:rsidRPr="00DA2FD3">
        <w:rPr>
          <w:rFonts w:ascii="Arial" w:hAnsi="Arial" w:cs="Arial"/>
          <w:sz w:val="22"/>
          <w:szCs w:val="22"/>
        </w:rPr>
        <w:t>Tra le regioni i</w:t>
      </w:r>
      <w:r w:rsidRPr="00DA2FD3">
        <w:rPr>
          <w:rFonts w:ascii="Arial" w:hAnsi="Arial" w:cs="Arial"/>
          <w:sz w:val="22"/>
          <w:szCs w:val="22"/>
        </w:rPr>
        <w:t>n</w:t>
      </w:r>
      <w:r w:rsidR="00231BC5" w:rsidRPr="00DA2FD3">
        <w:rPr>
          <w:rFonts w:ascii="Arial" w:hAnsi="Arial" w:cs="Arial"/>
          <w:sz w:val="22"/>
          <w:szCs w:val="22"/>
        </w:rPr>
        <w:t xml:space="preserve"> testa si posiziona</w:t>
      </w:r>
      <w:r w:rsidR="00981819" w:rsidRPr="00DA2FD3">
        <w:rPr>
          <w:rFonts w:ascii="Arial" w:hAnsi="Arial" w:cs="Arial"/>
          <w:sz w:val="22"/>
          <w:szCs w:val="22"/>
        </w:rPr>
        <w:t xml:space="preserve"> la</w:t>
      </w:r>
      <w:r w:rsidRPr="00DA2FD3">
        <w:rPr>
          <w:rFonts w:ascii="Arial" w:hAnsi="Arial" w:cs="Arial"/>
          <w:sz w:val="22"/>
          <w:szCs w:val="22"/>
        </w:rPr>
        <w:t xml:space="preserve"> Lombardia </w:t>
      </w:r>
      <w:r w:rsidR="00981819" w:rsidRPr="00DA2FD3">
        <w:rPr>
          <w:rFonts w:ascii="Arial" w:hAnsi="Arial" w:cs="Arial"/>
          <w:sz w:val="22"/>
          <w:szCs w:val="22"/>
        </w:rPr>
        <w:t>con il 2</w:t>
      </w:r>
      <w:r w:rsidR="00C90630" w:rsidRPr="00DA2FD3">
        <w:rPr>
          <w:rFonts w:ascii="Arial" w:hAnsi="Arial" w:cs="Arial"/>
          <w:sz w:val="22"/>
          <w:szCs w:val="22"/>
        </w:rPr>
        <w:t>3</w:t>
      </w:r>
      <w:r w:rsidR="00BA2FFB" w:rsidRPr="00DA2FD3">
        <w:rPr>
          <w:rFonts w:ascii="Arial" w:hAnsi="Arial" w:cs="Arial"/>
          <w:sz w:val="22"/>
          <w:szCs w:val="22"/>
        </w:rPr>
        <w:t>,5</w:t>
      </w:r>
      <w:r w:rsidR="00981819" w:rsidRPr="00DA2FD3">
        <w:rPr>
          <w:rFonts w:ascii="Arial" w:hAnsi="Arial" w:cs="Arial"/>
          <w:sz w:val="22"/>
          <w:szCs w:val="22"/>
        </w:rPr>
        <w:t>%</w:t>
      </w:r>
      <w:r w:rsidR="00C90630" w:rsidRPr="00DA2FD3">
        <w:rPr>
          <w:rFonts w:ascii="Arial" w:hAnsi="Arial" w:cs="Arial"/>
          <w:sz w:val="22"/>
          <w:szCs w:val="22"/>
        </w:rPr>
        <w:t>;</w:t>
      </w:r>
      <w:r w:rsidR="0052794B" w:rsidRPr="00DA2FD3">
        <w:rPr>
          <w:rFonts w:ascii="Arial" w:hAnsi="Arial" w:cs="Arial"/>
          <w:sz w:val="22"/>
          <w:szCs w:val="22"/>
        </w:rPr>
        <w:t xml:space="preserve"> </w:t>
      </w:r>
      <w:r w:rsidR="00617C01" w:rsidRPr="00DA2FD3">
        <w:rPr>
          <w:rFonts w:ascii="Arial" w:hAnsi="Arial" w:cs="Arial"/>
          <w:sz w:val="22"/>
          <w:szCs w:val="22"/>
        </w:rPr>
        <w:t>seguono</w:t>
      </w:r>
      <w:r w:rsidR="00BA2FFB" w:rsidRPr="00DA2FD3">
        <w:rPr>
          <w:rFonts w:ascii="Arial" w:hAnsi="Arial" w:cs="Arial"/>
          <w:sz w:val="22"/>
          <w:szCs w:val="22"/>
        </w:rPr>
        <w:t xml:space="preserve"> Lazio (1</w:t>
      </w:r>
      <w:r w:rsidR="00C90630" w:rsidRPr="00DA2FD3">
        <w:rPr>
          <w:rFonts w:ascii="Arial" w:hAnsi="Arial" w:cs="Arial"/>
          <w:sz w:val="22"/>
          <w:szCs w:val="22"/>
        </w:rPr>
        <w:t>6</w:t>
      </w:r>
      <w:r w:rsidR="00BA2FFB" w:rsidRPr="00DA2FD3">
        <w:rPr>
          <w:rFonts w:ascii="Arial" w:hAnsi="Arial" w:cs="Arial"/>
          <w:sz w:val="22"/>
          <w:szCs w:val="22"/>
        </w:rPr>
        <w:t>,</w:t>
      </w:r>
      <w:r w:rsidR="00C90630" w:rsidRPr="00DA2FD3">
        <w:rPr>
          <w:rFonts w:ascii="Arial" w:hAnsi="Arial" w:cs="Arial"/>
          <w:sz w:val="22"/>
          <w:szCs w:val="22"/>
        </w:rPr>
        <w:t>7</w:t>
      </w:r>
      <w:r w:rsidR="00981819" w:rsidRPr="00DA2FD3">
        <w:rPr>
          <w:rFonts w:ascii="Arial" w:hAnsi="Arial" w:cs="Arial"/>
          <w:sz w:val="22"/>
          <w:szCs w:val="22"/>
        </w:rPr>
        <w:t>%), Emilia-Romagna (</w:t>
      </w:r>
      <w:r w:rsidR="00BA2FFB" w:rsidRPr="00DA2FD3">
        <w:rPr>
          <w:rFonts w:ascii="Arial" w:hAnsi="Arial" w:cs="Arial"/>
          <w:sz w:val="22"/>
          <w:szCs w:val="22"/>
        </w:rPr>
        <w:t>9,</w:t>
      </w:r>
      <w:r w:rsidR="00C90630" w:rsidRPr="00DA2FD3">
        <w:rPr>
          <w:rFonts w:ascii="Arial" w:hAnsi="Arial" w:cs="Arial"/>
          <w:sz w:val="22"/>
          <w:szCs w:val="22"/>
        </w:rPr>
        <w:t xml:space="preserve">9%), </w:t>
      </w:r>
      <w:r w:rsidR="00981819" w:rsidRPr="00DA2FD3">
        <w:rPr>
          <w:rFonts w:ascii="Arial" w:hAnsi="Arial" w:cs="Arial"/>
          <w:sz w:val="22"/>
          <w:szCs w:val="22"/>
        </w:rPr>
        <w:t>Toscana (</w:t>
      </w:r>
      <w:r w:rsidR="00C90630" w:rsidRPr="00DA2FD3">
        <w:rPr>
          <w:rFonts w:ascii="Arial" w:hAnsi="Arial" w:cs="Arial"/>
          <w:sz w:val="22"/>
          <w:szCs w:val="22"/>
        </w:rPr>
        <w:t>9</w:t>
      </w:r>
      <w:r w:rsidR="00BA2FFB" w:rsidRPr="00DA2FD3">
        <w:rPr>
          <w:rFonts w:ascii="Arial" w:hAnsi="Arial" w:cs="Arial"/>
          <w:sz w:val="22"/>
          <w:szCs w:val="22"/>
        </w:rPr>
        <w:t>,</w:t>
      </w:r>
      <w:r w:rsidR="00C90630" w:rsidRPr="00DA2FD3">
        <w:rPr>
          <w:rFonts w:ascii="Arial" w:hAnsi="Arial" w:cs="Arial"/>
          <w:sz w:val="22"/>
          <w:szCs w:val="22"/>
        </w:rPr>
        <w:t>4</w:t>
      </w:r>
      <w:r w:rsidR="00981819" w:rsidRPr="00DA2FD3">
        <w:rPr>
          <w:rFonts w:ascii="Arial" w:hAnsi="Arial" w:cs="Arial"/>
          <w:sz w:val="22"/>
          <w:szCs w:val="22"/>
        </w:rPr>
        <w:t>%)</w:t>
      </w:r>
      <w:r w:rsidR="00C90630" w:rsidRPr="00DA2FD3">
        <w:rPr>
          <w:rFonts w:ascii="Arial" w:hAnsi="Arial" w:cs="Arial"/>
          <w:sz w:val="22"/>
          <w:szCs w:val="22"/>
        </w:rPr>
        <w:t xml:space="preserve"> e Piemonte (8,2%).</w:t>
      </w:r>
    </w:p>
    <w:p w14:paraId="5E4C040F" w14:textId="64AFE618" w:rsidR="00BA2FFB" w:rsidRPr="00DA2FD3" w:rsidRDefault="00BA2FFB" w:rsidP="00C76837">
      <w:pPr>
        <w:spacing w:after="120"/>
        <w:jc w:val="both"/>
        <w:outlineLvl w:val="0"/>
        <w:rPr>
          <w:rFonts w:ascii="Arial" w:hAnsi="Arial" w:cs="Arial"/>
          <w:sz w:val="22"/>
          <w:szCs w:val="22"/>
        </w:rPr>
      </w:pPr>
      <w:r w:rsidRPr="00DA2FD3">
        <w:rPr>
          <w:rFonts w:ascii="Arial" w:hAnsi="Arial" w:cs="Arial"/>
          <w:sz w:val="22"/>
          <w:szCs w:val="22"/>
        </w:rPr>
        <w:t>Considerando i tassi per 10</w:t>
      </w:r>
      <w:r w:rsidR="00617C01" w:rsidRPr="00DA2FD3">
        <w:rPr>
          <w:rFonts w:ascii="Arial" w:hAnsi="Arial" w:cs="Arial"/>
          <w:sz w:val="22"/>
          <w:szCs w:val="22"/>
        </w:rPr>
        <w:t>0mila</w:t>
      </w:r>
      <w:r w:rsidRPr="00DA2FD3">
        <w:rPr>
          <w:rFonts w:ascii="Arial" w:hAnsi="Arial" w:cs="Arial"/>
          <w:sz w:val="22"/>
          <w:szCs w:val="22"/>
        </w:rPr>
        <w:t xml:space="preserve"> residenti</w:t>
      </w:r>
      <w:r w:rsidR="00787626" w:rsidRPr="00DA2FD3">
        <w:rPr>
          <w:rFonts w:ascii="Arial" w:hAnsi="Arial" w:cs="Arial"/>
          <w:sz w:val="22"/>
          <w:szCs w:val="22"/>
        </w:rPr>
        <w:t>, il Lazio si colloca al primo posto (</w:t>
      </w:r>
      <w:r w:rsidR="00C90630" w:rsidRPr="00DA2FD3">
        <w:rPr>
          <w:rFonts w:ascii="Arial" w:hAnsi="Arial" w:cs="Arial"/>
          <w:sz w:val="22"/>
          <w:szCs w:val="22"/>
        </w:rPr>
        <w:t>4</w:t>
      </w:r>
      <w:r w:rsidR="00787626" w:rsidRPr="00DA2FD3">
        <w:rPr>
          <w:rFonts w:ascii="Arial" w:hAnsi="Arial" w:cs="Arial"/>
          <w:sz w:val="22"/>
          <w:szCs w:val="22"/>
        </w:rPr>
        <w:t>,</w:t>
      </w:r>
      <w:r w:rsidR="00C90630" w:rsidRPr="00DA2FD3">
        <w:rPr>
          <w:rFonts w:ascii="Arial" w:hAnsi="Arial" w:cs="Arial"/>
          <w:sz w:val="22"/>
          <w:szCs w:val="22"/>
        </w:rPr>
        <w:t>5</w:t>
      </w:r>
      <w:r w:rsidR="00787626" w:rsidRPr="00DA2FD3">
        <w:rPr>
          <w:rFonts w:ascii="Arial" w:hAnsi="Arial" w:cs="Arial"/>
          <w:sz w:val="22"/>
          <w:szCs w:val="22"/>
        </w:rPr>
        <w:t xml:space="preserve"> per 100</w:t>
      </w:r>
      <w:r w:rsidR="00617C01" w:rsidRPr="00DA2FD3">
        <w:rPr>
          <w:rFonts w:ascii="Arial" w:hAnsi="Arial" w:cs="Arial"/>
          <w:sz w:val="22"/>
          <w:szCs w:val="22"/>
        </w:rPr>
        <w:t>mila</w:t>
      </w:r>
      <w:r w:rsidR="00787626" w:rsidRPr="00DA2FD3">
        <w:rPr>
          <w:rFonts w:ascii="Arial" w:hAnsi="Arial" w:cs="Arial"/>
          <w:sz w:val="22"/>
          <w:szCs w:val="22"/>
        </w:rPr>
        <w:t>)</w:t>
      </w:r>
      <w:r w:rsidR="00C046D9">
        <w:rPr>
          <w:rFonts w:ascii="Arial" w:hAnsi="Arial" w:cs="Arial"/>
          <w:sz w:val="22"/>
          <w:szCs w:val="22"/>
        </w:rPr>
        <w:t xml:space="preserve"> e precede</w:t>
      </w:r>
      <w:r w:rsidR="00787626" w:rsidRPr="00DA2FD3">
        <w:rPr>
          <w:rFonts w:ascii="Arial" w:hAnsi="Arial" w:cs="Arial"/>
          <w:sz w:val="22"/>
          <w:szCs w:val="22"/>
        </w:rPr>
        <w:t xml:space="preserve"> </w:t>
      </w:r>
      <w:r w:rsidR="00C90630" w:rsidRPr="00DA2FD3">
        <w:rPr>
          <w:rFonts w:ascii="Arial" w:hAnsi="Arial" w:cs="Arial"/>
          <w:sz w:val="22"/>
          <w:szCs w:val="22"/>
        </w:rPr>
        <w:t xml:space="preserve">Toscana (3,9), </w:t>
      </w:r>
      <w:r w:rsidR="00787626" w:rsidRPr="00DA2FD3">
        <w:rPr>
          <w:rFonts w:ascii="Arial" w:hAnsi="Arial" w:cs="Arial"/>
          <w:sz w:val="22"/>
          <w:szCs w:val="22"/>
        </w:rPr>
        <w:t>Lombardia (</w:t>
      </w:r>
      <w:r w:rsidR="00C90630" w:rsidRPr="00DA2FD3">
        <w:rPr>
          <w:rFonts w:ascii="Arial" w:hAnsi="Arial" w:cs="Arial"/>
          <w:sz w:val="22"/>
          <w:szCs w:val="22"/>
        </w:rPr>
        <w:t>3</w:t>
      </w:r>
      <w:r w:rsidR="00787626" w:rsidRPr="00DA2FD3">
        <w:rPr>
          <w:rFonts w:ascii="Arial" w:hAnsi="Arial" w:cs="Arial"/>
          <w:sz w:val="22"/>
          <w:szCs w:val="22"/>
        </w:rPr>
        <w:t xml:space="preserve">,6), </w:t>
      </w:r>
      <w:r w:rsidR="00C90630" w:rsidRPr="00DA2FD3">
        <w:rPr>
          <w:rFonts w:ascii="Arial" w:hAnsi="Arial" w:cs="Arial"/>
          <w:sz w:val="22"/>
          <w:szCs w:val="22"/>
        </w:rPr>
        <w:t xml:space="preserve">Emilia-Romagna (3,4) </w:t>
      </w:r>
      <w:r w:rsidR="00787626" w:rsidRPr="00DA2FD3">
        <w:rPr>
          <w:rFonts w:ascii="Arial" w:hAnsi="Arial" w:cs="Arial"/>
          <w:sz w:val="22"/>
          <w:szCs w:val="22"/>
        </w:rPr>
        <w:t>e Liguria (</w:t>
      </w:r>
      <w:r w:rsidR="00C90630" w:rsidRPr="00DA2FD3">
        <w:rPr>
          <w:rFonts w:ascii="Arial" w:hAnsi="Arial" w:cs="Arial"/>
          <w:sz w:val="22"/>
          <w:szCs w:val="22"/>
        </w:rPr>
        <w:t>3</w:t>
      </w:r>
      <w:r w:rsidR="00787626" w:rsidRPr="00DA2FD3">
        <w:rPr>
          <w:rFonts w:ascii="Arial" w:hAnsi="Arial" w:cs="Arial"/>
          <w:sz w:val="22"/>
          <w:szCs w:val="22"/>
        </w:rPr>
        <w:t>,</w:t>
      </w:r>
      <w:r w:rsidR="00C90630" w:rsidRPr="00DA2FD3">
        <w:rPr>
          <w:rFonts w:ascii="Arial" w:hAnsi="Arial" w:cs="Arial"/>
          <w:sz w:val="22"/>
          <w:szCs w:val="22"/>
        </w:rPr>
        <w:t>2); ovviamente i valori dei tassi si presentano molto ridimensionati rispetto all’anno precedente.</w:t>
      </w:r>
    </w:p>
    <w:p w14:paraId="7F8FCE35" w14:textId="392C07CD" w:rsidR="0089404A" w:rsidRPr="00DA2FD3" w:rsidRDefault="000F7E7C" w:rsidP="00C76837">
      <w:pPr>
        <w:spacing w:after="120"/>
        <w:jc w:val="both"/>
        <w:outlineLvl w:val="0"/>
        <w:rPr>
          <w:rFonts w:ascii="Arial" w:hAnsi="Arial" w:cs="Arial"/>
          <w:sz w:val="22"/>
          <w:szCs w:val="22"/>
        </w:rPr>
      </w:pPr>
      <w:r w:rsidRPr="00DA2FD3">
        <w:rPr>
          <w:rFonts w:ascii="Arial" w:hAnsi="Arial" w:cs="Arial"/>
          <w:sz w:val="22"/>
          <w:szCs w:val="22"/>
        </w:rPr>
        <w:t>E</w:t>
      </w:r>
      <w:r w:rsidR="00EC1F1D" w:rsidRPr="00DA2FD3">
        <w:rPr>
          <w:rFonts w:ascii="Arial" w:hAnsi="Arial" w:cs="Arial"/>
          <w:sz w:val="22"/>
          <w:szCs w:val="22"/>
        </w:rPr>
        <w:t>merge</w:t>
      </w:r>
      <w:r w:rsidR="0089404A" w:rsidRPr="00DA2FD3">
        <w:rPr>
          <w:rFonts w:ascii="Arial" w:hAnsi="Arial" w:cs="Arial"/>
          <w:sz w:val="22"/>
          <w:szCs w:val="22"/>
        </w:rPr>
        <w:t xml:space="preserve"> con particolare evidenza</w:t>
      </w:r>
      <w:r w:rsidR="00EC1F1D" w:rsidRPr="00DA2FD3">
        <w:rPr>
          <w:rFonts w:ascii="Arial" w:hAnsi="Arial" w:cs="Arial"/>
          <w:sz w:val="22"/>
          <w:szCs w:val="22"/>
        </w:rPr>
        <w:t xml:space="preserve"> il ruolo attrattivo di alcune </w:t>
      </w:r>
      <w:r w:rsidR="00BB75DC" w:rsidRPr="00DA2FD3">
        <w:rPr>
          <w:rFonts w:ascii="Arial" w:hAnsi="Arial" w:cs="Arial"/>
          <w:sz w:val="22"/>
          <w:szCs w:val="22"/>
        </w:rPr>
        <w:t>metropoli</w:t>
      </w:r>
      <w:r w:rsidR="00FC2DDA" w:rsidRPr="00DA2FD3">
        <w:rPr>
          <w:rFonts w:ascii="Arial" w:hAnsi="Arial" w:cs="Arial"/>
          <w:sz w:val="22"/>
          <w:szCs w:val="22"/>
        </w:rPr>
        <w:t>. Nel 20</w:t>
      </w:r>
      <w:r w:rsidR="00C90630" w:rsidRPr="00DA2FD3">
        <w:rPr>
          <w:rFonts w:ascii="Arial" w:hAnsi="Arial" w:cs="Arial"/>
          <w:sz w:val="22"/>
          <w:szCs w:val="22"/>
        </w:rPr>
        <w:t xml:space="preserve">20 </w:t>
      </w:r>
      <w:r w:rsidR="00C046D9" w:rsidRPr="00DA2FD3">
        <w:rPr>
          <w:rFonts w:ascii="Arial" w:hAnsi="Arial" w:cs="Arial"/>
          <w:sz w:val="22"/>
          <w:szCs w:val="22"/>
        </w:rPr>
        <w:t>il 12,2%</w:t>
      </w:r>
      <w:r w:rsidR="00C046D9">
        <w:rPr>
          <w:rFonts w:ascii="Arial" w:hAnsi="Arial" w:cs="Arial"/>
          <w:sz w:val="22"/>
          <w:szCs w:val="22"/>
        </w:rPr>
        <w:t xml:space="preserve"> delle unioni civili </w:t>
      </w:r>
      <w:r w:rsidR="00C90630" w:rsidRPr="00DA2FD3">
        <w:rPr>
          <w:rFonts w:ascii="Arial" w:hAnsi="Arial" w:cs="Arial"/>
          <w:sz w:val="22"/>
          <w:szCs w:val="22"/>
        </w:rPr>
        <w:t xml:space="preserve">si </w:t>
      </w:r>
      <w:r w:rsidR="00C046D9">
        <w:rPr>
          <w:rFonts w:ascii="Arial" w:hAnsi="Arial" w:cs="Arial"/>
          <w:sz w:val="22"/>
          <w:szCs w:val="22"/>
        </w:rPr>
        <w:t>è</w:t>
      </w:r>
      <w:r w:rsidR="00C90630" w:rsidRPr="00DA2FD3">
        <w:rPr>
          <w:rFonts w:ascii="Arial" w:hAnsi="Arial" w:cs="Arial"/>
          <w:sz w:val="22"/>
          <w:szCs w:val="22"/>
        </w:rPr>
        <w:t xml:space="preserve"> costituit</w:t>
      </w:r>
      <w:r w:rsidR="00C046D9">
        <w:rPr>
          <w:rFonts w:ascii="Arial" w:hAnsi="Arial" w:cs="Arial"/>
          <w:sz w:val="22"/>
          <w:szCs w:val="22"/>
        </w:rPr>
        <w:t>o</w:t>
      </w:r>
      <w:r w:rsidR="00C90630" w:rsidRPr="00DA2FD3">
        <w:rPr>
          <w:rFonts w:ascii="Arial" w:hAnsi="Arial" w:cs="Arial"/>
          <w:sz w:val="22"/>
          <w:szCs w:val="22"/>
        </w:rPr>
        <w:t xml:space="preserve"> </w:t>
      </w:r>
      <w:r w:rsidR="00C046D9">
        <w:rPr>
          <w:rFonts w:ascii="Arial" w:hAnsi="Arial" w:cs="Arial"/>
          <w:sz w:val="22"/>
          <w:szCs w:val="22"/>
        </w:rPr>
        <w:t>nel</w:t>
      </w:r>
      <w:r w:rsidR="00C90630" w:rsidRPr="00DA2FD3">
        <w:rPr>
          <w:rFonts w:ascii="Arial" w:hAnsi="Arial" w:cs="Arial"/>
          <w:sz w:val="22"/>
          <w:szCs w:val="22"/>
        </w:rPr>
        <w:t xml:space="preserve"> </w:t>
      </w:r>
      <w:r w:rsidR="00C046D9" w:rsidRPr="00DA2FD3">
        <w:rPr>
          <w:rFonts w:ascii="Arial" w:hAnsi="Arial" w:cs="Arial"/>
          <w:sz w:val="22"/>
          <w:szCs w:val="22"/>
        </w:rPr>
        <w:t>comun</w:t>
      </w:r>
      <w:r w:rsidR="00C046D9">
        <w:rPr>
          <w:rFonts w:ascii="Arial" w:hAnsi="Arial" w:cs="Arial"/>
          <w:sz w:val="22"/>
          <w:szCs w:val="22"/>
        </w:rPr>
        <w:t xml:space="preserve">e </w:t>
      </w:r>
      <w:r w:rsidR="00C90630" w:rsidRPr="00DA2FD3">
        <w:rPr>
          <w:rFonts w:ascii="Arial" w:hAnsi="Arial" w:cs="Arial"/>
          <w:sz w:val="22"/>
          <w:szCs w:val="22"/>
        </w:rPr>
        <w:t>di Roma e</w:t>
      </w:r>
      <w:r w:rsidR="00FC2DDA" w:rsidRPr="00DA2FD3">
        <w:rPr>
          <w:rFonts w:ascii="Arial" w:hAnsi="Arial" w:cs="Arial"/>
          <w:sz w:val="22"/>
          <w:szCs w:val="22"/>
        </w:rPr>
        <w:t xml:space="preserve"> </w:t>
      </w:r>
      <w:r w:rsidR="00C046D9" w:rsidRPr="00DA2FD3">
        <w:rPr>
          <w:rFonts w:ascii="Arial" w:hAnsi="Arial" w:cs="Arial"/>
          <w:sz w:val="22"/>
          <w:szCs w:val="22"/>
        </w:rPr>
        <w:t xml:space="preserve">il 7,1% </w:t>
      </w:r>
      <w:r w:rsidR="00C046D9">
        <w:rPr>
          <w:rFonts w:ascii="Arial" w:hAnsi="Arial" w:cs="Arial"/>
          <w:sz w:val="22"/>
          <w:szCs w:val="22"/>
        </w:rPr>
        <w:t>in quello di Milano</w:t>
      </w:r>
      <w:r w:rsidR="00FC2DDA" w:rsidRPr="00DA2FD3">
        <w:rPr>
          <w:rFonts w:ascii="Arial" w:hAnsi="Arial" w:cs="Arial"/>
          <w:sz w:val="22"/>
          <w:szCs w:val="22"/>
        </w:rPr>
        <w:t xml:space="preserve">. </w:t>
      </w:r>
    </w:p>
    <w:p w14:paraId="1F9B0DA0" w14:textId="0DB76A5C" w:rsidR="00787626" w:rsidRDefault="00787626" w:rsidP="00C76837">
      <w:pPr>
        <w:spacing w:after="120"/>
        <w:jc w:val="both"/>
        <w:outlineLvl w:val="0"/>
        <w:rPr>
          <w:rFonts w:ascii="Arial" w:hAnsi="Arial" w:cs="Arial"/>
          <w:sz w:val="22"/>
          <w:szCs w:val="22"/>
        </w:rPr>
      </w:pPr>
      <w:r w:rsidRPr="00DA2FD3">
        <w:rPr>
          <w:rFonts w:ascii="Arial" w:hAnsi="Arial" w:cs="Arial"/>
          <w:sz w:val="22"/>
          <w:szCs w:val="22"/>
        </w:rPr>
        <w:t>Si conferma anche nel 20</w:t>
      </w:r>
      <w:r w:rsidR="00C90630" w:rsidRPr="00DA2FD3">
        <w:rPr>
          <w:rFonts w:ascii="Arial" w:hAnsi="Arial" w:cs="Arial"/>
          <w:sz w:val="22"/>
          <w:szCs w:val="22"/>
        </w:rPr>
        <w:t>20</w:t>
      </w:r>
      <w:r w:rsidRPr="00DA2FD3">
        <w:rPr>
          <w:rFonts w:ascii="Arial" w:hAnsi="Arial" w:cs="Arial"/>
          <w:sz w:val="22"/>
          <w:szCs w:val="22"/>
        </w:rPr>
        <w:t xml:space="preserve"> la prevalenza di coppie di uomini (</w:t>
      </w:r>
      <w:r w:rsidR="00C90630" w:rsidRPr="00DA2FD3">
        <w:rPr>
          <w:rFonts w:ascii="Arial" w:hAnsi="Arial" w:cs="Arial"/>
          <w:sz w:val="22"/>
          <w:szCs w:val="22"/>
        </w:rPr>
        <w:t>961</w:t>
      </w:r>
      <w:r w:rsidRPr="00DA2FD3">
        <w:rPr>
          <w:rFonts w:ascii="Arial" w:hAnsi="Arial" w:cs="Arial"/>
          <w:sz w:val="22"/>
          <w:szCs w:val="22"/>
        </w:rPr>
        <w:t xml:space="preserve"> unioni, il 62,</w:t>
      </w:r>
      <w:r w:rsidR="00C90630" w:rsidRPr="00DA2FD3">
        <w:rPr>
          <w:rFonts w:ascii="Arial" w:hAnsi="Arial" w:cs="Arial"/>
          <w:sz w:val="22"/>
          <w:szCs w:val="22"/>
        </w:rPr>
        <w:t>4</w:t>
      </w:r>
      <w:r w:rsidRPr="00DA2FD3">
        <w:rPr>
          <w:rFonts w:ascii="Arial" w:hAnsi="Arial" w:cs="Arial"/>
          <w:sz w:val="22"/>
          <w:szCs w:val="22"/>
        </w:rPr>
        <w:t>% del totale),</w:t>
      </w:r>
      <w:r w:rsidR="00C90630" w:rsidRPr="00DA2FD3">
        <w:rPr>
          <w:rFonts w:ascii="Arial" w:hAnsi="Arial" w:cs="Arial"/>
          <w:sz w:val="22"/>
          <w:szCs w:val="22"/>
        </w:rPr>
        <w:t xml:space="preserve"> in analogia con l’anno precedente (62,2%)</w:t>
      </w:r>
      <w:r w:rsidRPr="00DA2FD3">
        <w:rPr>
          <w:rFonts w:ascii="Arial" w:hAnsi="Arial" w:cs="Arial"/>
          <w:sz w:val="22"/>
          <w:szCs w:val="22"/>
        </w:rPr>
        <w:t>. T</w:t>
      </w:r>
      <w:r w:rsidR="007D109C" w:rsidRPr="00DA2FD3">
        <w:rPr>
          <w:rFonts w:ascii="Arial" w:hAnsi="Arial" w:cs="Arial"/>
          <w:sz w:val="22"/>
          <w:szCs w:val="22"/>
        </w:rPr>
        <w:t>ale quota è abbastanza simile in tutte le ripartizioni:</w:t>
      </w:r>
      <w:r w:rsidRPr="00DA2FD3">
        <w:rPr>
          <w:rFonts w:ascii="Arial" w:hAnsi="Arial" w:cs="Arial"/>
          <w:sz w:val="22"/>
          <w:szCs w:val="22"/>
        </w:rPr>
        <w:t xml:space="preserve"> </w:t>
      </w:r>
      <w:r w:rsidR="007D109C" w:rsidRPr="00DA2FD3">
        <w:rPr>
          <w:rFonts w:ascii="Arial" w:hAnsi="Arial" w:cs="Arial"/>
          <w:sz w:val="22"/>
          <w:szCs w:val="22"/>
        </w:rPr>
        <w:t xml:space="preserve">dal </w:t>
      </w:r>
      <w:r w:rsidR="00C90630" w:rsidRPr="00DA2FD3">
        <w:rPr>
          <w:rFonts w:ascii="Arial" w:hAnsi="Arial" w:cs="Arial"/>
          <w:sz w:val="22"/>
          <w:szCs w:val="22"/>
        </w:rPr>
        <w:t>58</w:t>
      </w:r>
      <w:r w:rsidR="00DA4456">
        <w:rPr>
          <w:rFonts w:ascii="Arial" w:hAnsi="Arial" w:cs="Arial"/>
          <w:sz w:val="22"/>
          <w:szCs w:val="22"/>
        </w:rPr>
        <w:t>,</w:t>
      </w:r>
      <w:r w:rsidR="00C90630" w:rsidRPr="00DA2FD3">
        <w:rPr>
          <w:rFonts w:ascii="Arial" w:hAnsi="Arial" w:cs="Arial"/>
          <w:sz w:val="22"/>
          <w:szCs w:val="22"/>
        </w:rPr>
        <w:t>9</w:t>
      </w:r>
      <w:r w:rsidR="000B3860" w:rsidRPr="00DA2FD3">
        <w:rPr>
          <w:rFonts w:ascii="Arial" w:hAnsi="Arial" w:cs="Arial"/>
          <w:sz w:val="22"/>
          <w:szCs w:val="22"/>
        </w:rPr>
        <w:t>%</w:t>
      </w:r>
      <w:r w:rsidR="007D109C" w:rsidRPr="00DA2FD3">
        <w:rPr>
          <w:rFonts w:ascii="Arial" w:hAnsi="Arial" w:cs="Arial"/>
          <w:sz w:val="22"/>
          <w:szCs w:val="22"/>
        </w:rPr>
        <w:t xml:space="preserve"> del </w:t>
      </w:r>
      <w:r w:rsidR="00C90630" w:rsidRPr="00DA2FD3">
        <w:rPr>
          <w:rFonts w:ascii="Arial" w:hAnsi="Arial" w:cs="Arial"/>
          <w:sz w:val="22"/>
          <w:szCs w:val="22"/>
        </w:rPr>
        <w:t>Nord-est</w:t>
      </w:r>
      <w:r w:rsidR="007D109C" w:rsidRPr="00DA2FD3">
        <w:rPr>
          <w:rFonts w:ascii="Arial" w:hAnsi="Arial" w:cs="Arial"/>
          <w:sz w:val="22"/>
          <w:szCs w:val="22"/>
        </w:rPr>
        <w:t xml:space="preserve"> al 6</w:t>
      </w:r>
      <w:r w:rsidR="00FA1FFF" w:rsidRPr="00DA2FD3">
        <w:rPr>
          <w:rFonts w:ascii="Arial" w:hAnsi="Arial" w:cs="Arial"/>
          <w:sz w:val="22"/>
          <w:szCs w:val="22"/>
        </w:rPr>
        <w:t>5</w:t>
      </w:r>
      <w:r w:rsidR="007D109C" w:rsidRPr="00DA2FD3">
        <w:rPr>
          <w:rFonts w:ascii="Arial" w:hAnsi="Arial" w:cs="Arial"/>
          <w:sz w:val="22"/>
          <w:szCs w:val="22"/>
        </w:rPr>
        <w:t>,</w:t>
      </w:r>
      <w:r w:rsidR="00FA1FFF" w:rsidRPr="00DA2FD3">
        <w:rPr>
          <w:rFonts w:ascii="Arial" w:hAnsi="Arial" w:cs="Arial"/>
          <w:sz w:val="22"/>
          <w:szCs w:val="22"/>
        </w:rPr>
        <w:t>5</w:t>
      </w:r>
      <w:r w:rsidR="000B3860" w:rsidRPr="00DA2FD3">
        <w:rPr>
          <w:rFonts w:ascii="Arial" w:hAnsi="Arial" w:cs="Arial"/>
          <w:sz w:val="22"/>
          <w:szCs w:val="22"/>
        </w:rPr>
        <w:t>%</w:t>
      </w:r>
      <w:r w:rsidR="00FA1FFF" w:rsidRPr="00DA2FD3">
        <w:rPr>
          <w:rFonts w:ascii="Arial" w:hAnsi="Arial" w:cs="Arial"/>
          <w:sz w:val="22"/>
          <w:szCs w:val="22"/>
        </w:rPr>
        <w:t xml:space="preserve"> del Sud</w:t>
      </w:r>
      <w:r w:rsidR="007D109C" w:rsidRPr="00DA2FD3">
        <w:rPr>
          <w:rFonts w:ascii="Arial" w:hAnsi="Arial" w:cs="Arial"/>
          <w:sz w:val="22"/>
          <w:szCs w:val="22"/>
        </w:rPr>
        <w:t>. In Lombardia le unioni civili di uomini sono il 6</w:t>
      </w:r>
      <w:r w:rsidR="00FA1FFF" w:rsidRPr="00DA2FD3">
        <w:rPr>
          <w:rFonts w:ascii="Arial" w:hAnsi="Arial" w:cs="Arial"/>
          <w:sz w:val="22"/>
          <w:szCs w:val="22"/>
        </w:rPr>
        <w:t>6</w:t>
      </w:r>
      <w:r w:rsidR="007D109C" w:rsidRPr="00DA2FD3">
        <w:rPr>
          <w:rFonts w:ascii="Arial" w:hAnsi="Arial" w:cs="Arial"/>
          <w:sz w:val="22"/>
          <w:szCs w:val="22"/>
        </w:rPr>
        <w:t>,</w:t>
      </w:r>
      <w:r w:rsidR="00FA1FFF" w:rsidRPr="00DA2FD3">
        <w:rPr>
          <w:rFonts w:ascii="Arial" w:hAnsi="Arial" w:cs="Arial"/>
          <w:sz w:val="22"/>
          <w:szCs w:val="22"/>
        </w:rPr>
        <w:t>9</w:t>
      </w:r>
      <w:r w:rsidR="007D109C" w:rsidRPr="00DA2FD3">
        <w:rPr>
          <w:rFonts w:ascii="Arial" w:hAnsi="Arial" w:cs="Arial"/>
          <w:sz w:val="22"/>
          <w:szCs w:val="22"/>
        </w:rPr>
        <w:t>%</w:t>
      </w:r>
      <w:r w:rsidR="00617C01" w:rsidRPr="00DA2FD3">
        <w:rPr>
          <w:rFonts w:ascii="Arial" w:hAnsi="Arial" w:cs="Arial"/>
          <w:sz w:val="22"/>
          <w:szCs w:val="22"/>
        </w:rPr>
        <w:t>,</w:t>
      </w:r>
      <w:r w:rsidR="007D109C" w:rsidRPr="00DA2FD3">
        <w:rPr>
          <w:rFonts w:ascii="Arial" w:hAnsi="Arial" w:cs="Arial"/>
          <w:sz w:val="22"/>
          <w:szCs w:val="22"/>
        </w:rPr>
        <w:t xml:space="preserve"> nel Lazio il 6</w:t>
      </w:r>
      <w:r w:rsidR="00FA1FFF" w:rsidRPr="00DA2FD3">
        <w:rPr>
          <w:rFonts w:ascii="Arial" w:hAnsi="Arial" w:cs="Arial"/>
          <w:sz w:val="22"/>
          <w:szCs w:val="22"/>
        </w:rPr>
        <w:t>8</w:t>
      </w:r>
      <w:r w:rsidR="007D109C" w:rsidRPr="00DA2FD3">
        <w:rPr>
          <w:rFonts w:ascii="Arial" w:hAnsi="Arial" w:cs="Arial"/>
          <w:sz w:val="22"/>
          <w:szCs w:val="22"/>
        </w:rPr>
        <w:t>,</w:t>
      </w:r>
      <w:r w:rsidR="00FA1FFF" w:rsidRPr="00DA2FD3">
        <w:rPr>
          <w:rFonts w:ascii="Arial" w:hAnsi="Arial" w:cs="Arial"/>
          <w:sz w:val="22"/>
          <w:szCs w:val="22"/>
        </w:rPr>
        <w:t>1</w:t>
      </w:r>
      <w:r w:rsidR="007D109C" w:rsidRPr="00DA2FD3">
        <w:rPr>
          <w:rFonts w:ascii="Arial" w:hAnsi="Arial" w:cs="Arial"/>
          <w:sz w:val="22"/>
          <w:szCs w:val="22"/>
        </w:rPr>
        <w:t xml:space="preserve">% (Figura </w:t>
      </w:r>
      <w:r w:rsidR="00F44339" w:rsidRPr="00DA2FD3">
        <w:rPr>
          <w:rFonts w:ascii="Arial" w:hAnsi="Arial" w:cs="Arial"/>
          <w:sz w:val="22"/>
          <w:szCs w:val="22"/>
        </w:rPr>
        <w:t>4</w:t>
      </w:r>
      <w:r w:rsidR="007D109C" w:rsidRPr="00DA2FD3">
        <w:rPr>
          <w:rFonts w:ascii="Arial" w:hAnsi="Arial" w:cs="Arial"/>
          <w:sz w:val="22"/>
          <w:szCs w:val="22"/>
        </w:rPr>
        <w:t>).</w:t>
      </w:r>
    </w:p>
    <w:p w14:paraId="7630BE48" w14:textId="77777777" w:rsidR="00F44339" w:rsidRPr="006C4834" w:rsidRDefault="00F44339" w:rsidP="00C76837">
      <w:pPr>
        <w:spacing w:after="120"/>
        <w:jc w:val="both"/>
        <w:outlineLvl w:val="0"/>
        <w:rPr>
          <w:rFonts w:ascii="Arial" w:hAnsi="Arial" w:cs="Arial"/>
          <w:sz w:val="36"/>
          <w:szCs w:val="36"/>
        </w:rPr>
      </w:pPr>
    </w:p>
    <w:p w14:paraId="665B3C4B" w14:textId="5E1C3392" w:rsidR="00981819" w:rsidRDefault="005056DF" w:rsidP="00404DB4">
      <w:pPr>
        <w:autoSpaceDE w:val="0"/>
        <w:autoSpaceDN w:val="0"/>
        <w:adjustRightInd w:val="0"/>
        <w:spacing w:after="120"/>
        <w:rPr>
          <w:rFonts w:ascii="Arial Narrow" w:hAnsi="Arial Narrow" w:cs="Arial"/>
          <w:color w:val="1F497D" w:themeColor="text2"/>
          <w:sz w:val="22"/>
          <w:szCs w:val="22"/>
        </w:rPr>
      </w:pPr>
      <w:r w:rsidRPr="007D109C">
        <w:rPr>
          <w:rFonts w:ascii="Arial Black" w:hAnsi="Arial Black" w:cs="Arial"/>
          <w:iCs/>
          <w:noProof/>
          <w:color w:val="1F497D" w:themeColor="text2"/>
          <w:sz w:val="22"/>
          <w:szCs w:val="22"/>
        </w:rPr>
        <w:t>F</w:t>
      </w:r>
      <w:r w:rsidR="004A2DB4" w:rsidRPr="007D109C">
        <w:rPr>
          <w:rFonts w:ascii="Arial Black" w:hAnsi="Arial Black" w:cs="Arial"/>
          <w:iCs/>
          <w:noProof/>
          <w:color w:val="1F497D" w:themeColor="text2"/>
          <w:sz w:val="22"/>
          <w:szCs w:val="22"/>
        </w:rPr>
        <w:t xml:space="preserve">IGURA </w:t>
      </w:r>
      <w:r w:rsidR="00F44339">
        <w:rPr>
          <w:rFonts w:ascii="Arial Black" w:hAnsi="Arial Black" w:cs="Arial"/>
          <w:iCs/>
          <w:noProof/>
          <w:color w:val="1F497D" w:themeColor="text2"/>
          <w:sz w:val="22"/>
          <w:szCs w:val="22"/>
        </w:rPr>
        <w:t>4</w:t>
      </w:r>
      <w:r w:rsidR="004A2DB4" w:rsidRPr="007D109C">
        <w:rPr>
          <w:rFonts w:ascii="Arial Black" w:hAnsi="Arial Black" w:cs="Arial"/>
          <w:iCs/>
          <w:noProof/>
          <w:color w:val="1F497D" w:themeColor="text2"/>
          <w:sz w:val="22"/>
          <w:szCs w:val="22"/>
        </w:rPr>
        <w:t>.</w:t>
      </w:r>
      <w:r w:rsidR="004A2DB4" w:rsidRPr="007D109C">
        <w:rPr>
          <w:rFonts w:ascii="Arial Narrow" w:hAnsi="Arial Narrow" w:cs="Arial"/>
          <w:b/>
          <w:iCs/>
          <w:noProof/>
          <w:color w:val="1F497D" w:themeColor="text2"/>
          <w:sz w:val="22"/>
          <w:szCs w:val="22"/>
        </w:rPr>
        <w:t xml:space="preserve"> </w:t>
      </w:r>
      <w:r w:rsidR="00E75503" w:rsidRPr="007D109C">
        <w:rPr>
          <w:rFonts w:ascii="Arial Narrow" w:hAnsi="Arial Narrow" w:cs="Arial"/>
          <w:b/>
          <w:iCs/>
          <w:noProof/>
          <w:color w:val="1F497D" w:themeColor="text2"/>
          <w:sz w:val="22"/>
          <w:szCs w:val="22"/>
        </w:rPr>
        <w:t xml:space="preserve">UNIONI CIVILI PER </w:t>
      </w:r>
      <w:r w:rsidR="00C046D9">
        <w:rPr>
          <w:rFonts w:ascii="Arial Narrow" w:hAnsi="Arial Narrow" w:cs="Arial"/>
          <w:b/>
          <w:iCs/>
          <w:noProof/>
          <w:color w:val="1F497D" w:themeColor="text2"/>
          <w:sz w:val="22"/>
          <w:szCs w:val="22"/>
        </w:rPr>
        <w:t>GENERE</w:t>
      </w:r>
      <w:r w:rsidR="00C046D9" w:rsidRPr="007D109C">
        <w:rPr>
          <w:rFonts w:ascii="Arial Narrow" w:hAnsi="Arial Narrow" w:cs="Arial"/>
          <w:b/>
          <w:iCs/>
          <w:noProof/>
          <w:color w:val="1F497D" w:themeColor="text2"/>
          <w:sz w:val="22"/>
          <w:szCs w:val="22"/>
        </w:rPr>
        <w:t xml:space="preserve"> </w:t>
      </w:r>
      <w:r w:rsidR="00D34A37" w:rsidRPr="007D109C">
        <w:rPr>
          <w:rFonts w:ascii="Arial Narrow" w:hAnsi="Arial Narrow" w:cs="Arial"/>
          <w:b/>
          <w:iCs/>
          <w:noProof/>
          <w:color w:val="1F497D" w:themeColor="text2"/>
          <w:sz w:val="22"/>
          <w:szCs w:val="22"/>
        </w:rPr>
        <w:t>E REGIONE</w:t>
      </w:r>
      <w:r w:rsidR="00D21671" w:rsidRPr="007D109C">
        <w:rPr>
          <w:rFonts w:ascii="Arial Narrow" w:hAnsi="Arial Narrow" w:cs="Arial"/>
          <w:b/>
          <w:iCs/>
          <w:noProof/>
          <w:color w:val="1F497D" w:themeColor="text2"/>
          <w:sz w:val="22"/>
          <w:szCs w:val="22"/>
        </w:rPr>
        <w:t>.</w:t>
      </w:r>
      <w:r w:rsidR="00E75503" w:rsidRPr="007D109C">
        <w:rPr>
          <w:rFonts w:ascii="Arial Narrow" w:hAnsi="Arial Narrow" w:cs="Arial"/>
          <w:b/>
          <w:iCs/>
          <w:noProof/>
          <w:color w:val="1F497D" w:themeColor="text2"/>
          <w:sz w:val="22"/>
          <w:szCs w:val="22"/>
        </w:rPr>
        <w:t xml:space="preserve"> </w:t>
      </w:r>
      <w:r w:rsidR="007D109C" w:rsidRPr="007D109C">
        <w:rPr>
          <w:rFonts w:ascii="Arial Narrow" w:hAnsi="Arial Narrow" w:cs="Arial"/>
          <w:color w:val="1F497D" w:themeColor="text2"/>
          <w:sz w:val="22"/>
          <w:szCs w:val="22"/>
        </w:rPr>
        <w:t>Anno 20</w:t>
      </w:r>
      <w:r w:rsidR="002D0AB5">
        <w:rPr>
          <w:rFonts w:ascii="Arial Narrow" w:hAnsi="Arial Narrow" w:cs="Arial"/>
          <w:color w:val="1F497D" w:themeColor="text2"/>
          <w:sz w:val="22"/>
          <w:szCs w:val="22"/>
        </w:rPr>
        <w:t>20</w:t>
      </w:r>
      <w:r w:rsidR="00981819" w:rsidRPr="007D109C">
        <w:rPr>
          <w:rFonts w:ascii="Arial Narrow" w:hAnsi="Arial Narrow" w:cs="Arial"/>
          <w:color w:val="1F497D" w:themeColor="text2"/>
          <w:sz w:val="22"/>
          <w:szCs w:val="22"/>
        </w:rPr>
        <w:t xml:space="preserve">, </w:t>
      </w:r>
      <w:r w:rsidR="00E75503" w:rsidRPr="007D109C">
        <w:rPr>
          <w:rFonts w:ascii="Arial Narrow" w:hAnsi="Arial Narrow" w:cs="Arial"/>
          <w:color w:val="1F497D" w:themeColor="text2"/>
          <w:sz w:val="22"/>
          <w:szCs w:val="22"/>
        </w:rPr>
        <w:t>composizione percentuale</w:t>
      </w:r>
      <w:r w:rsidR="00981819" w:rsidRPr="007D109C">
        <w:rPr>
          <w:rFonts w:ascii="Arial Narrow" w:hAnsi="Arial Narrow" w:cs="Arial"/>
          <w:color w:val="1F497D" w:themeColor="text2"/>
          <w:sz w:val="22"/>
          <w:szCs w:val="22"/>
        </w:rPr>
        <w:t xml:space="preserve"> e </w:t>
      </w:r>
      <w:r w:rsidR="00E75503" w:rsidRPr="007D109C">
        <w:rPr>
          <w:rFonts w:ascii="Arial Narrow" w:hAnsi="Arial Narrow" w:cs="Arial"/>
          <w:color w:val="1F497D" w:themeColor="text2"/>
          <w:sz w:val="22"/>
          <w:szCs w:val="22"/>
        </w:rPr>
        <w:t xml:space="preserve">valori </w:t>
      </w:r>
      <w:r w:rsidR="007D109C" w:rsidRPr="007D109C">
        <w:rPr>
          <w:rFonts w:ascii="Arial Narrow" w:hAnsi="Arial Narrow" w:cs="Arial"/>
          <w:color w:val="1F497D" w:themeColor="text2"/>
          <w:sz w:val="22"/>
          <w:szCs w:val="22"/>
        </w:rPr>
        <w:t>per 100</w:t>
      </w:r>
      <w:r w:rsidR="00617C01">
        <w:rPr>
          <w:rFonts w:ascii="Arial Narrow" w:hAnsi="Arial Narrow" w:cs="Arial"/>
          <w:color w:val="1F497D" w:themeColor="text2"/>
          <w:sz w:val="22"/>
          <w:szCs w:val="22"/>
        </w:rPr>
        <w:t>mila</w:t>
      </w:r>
      <w:r w:rsidR="007D109C" w:rsidRPr="007D109C">
        <w:rPr>
          <w:rFonts w:ascii="Arial Narrow" w:hAnsi="Arial Narrow" w:cs="Arial"/>
          <w:color w:val="1F497D" w:themeColor="text2"/>
          <w:sz w:val="22"/>
          <w:szCs w:val="22"/>
        </w:rPr>
        <w:t xml:space="preserve"> residenti</w:t>
      </w:r>
      <w:r w:rsidR="00D90E0E">
        <w:rPr>
          <w:rFonts w:ascii="Arial Narrow" w:hAnsi="Arial Narrow" w:cs="Arial"/>
          <w:color w:val="1F497D" w:themeColor="text2"/>
          <w:sz w:val="22"/>
          <w:szCs w:val="22"/>
        </w:rPr>
        <w:t xml:space="preserve"> </w:t>
      </w:r>
    </w:p>
    <w:p w14:paraId="49A7204C" w14:textId="69F4200D" w:rsidR="00262A90" w:rsidRPr="000F524E" w:rsidRDefault="002D0AB5" w:rsidP="006E1982">
      <w:pPr>
        <w:rPr>
          <w:rFonts w:ascii="Arial Narrow" w:hAnsi="Arial Narrow" w:cs="Arial"/>
          <w:color w:val="1F497D" w:themeColor="text2"/>
          <w:sz w:val="22"/>
          <w:szCs w:val="22"/>
        </w:rPr>
      </w:pPr>
      <w:r>
        <w:rPr>
          <w:noProof/>
        </w:rPr>
        <w:drawing>
          <wp:inline distT="0" distB="0" distL="0" distR="0" wp14:anchorId="68703543" wp14:editId="02243032">
            <wp:extent cx="6300470" cy="2141855"/>
            <wp:effectExtent l="0" t="0" r="0"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05FF4">
        <w:rPr>
          <w:rFonts w:ascii="Arial Narrow" w:hAnsi="Arial Narrow" w:cs="Arial"/>
          <w:color w:val="1F497D" w:themeColor="text2"/>
          <w:sz w:val="22"/>
          <w:szCs w:val="22"/>
        </w:rPr>
        <w:br w:type="page"/>
      </w:r>
    </w:p>
    <w:p w14:paraId="006D094C" w14:textId="77777777" w:rsidR="00DA2FD3" w:rsidRPr="006C4834" w:rsidRDefault="00DA2FD3" w:rsidP="00C76837">
      <w:pPr>
        <w:spacing w:after="120"/>
        <w:rPr>
          <w:rFonts w:ascii="Arial" w:hAnsi="Arial" w:cs="Arial"/>
          <w:bCs/>
          <w:color w:val="1F497D" w:themeColor="text2"/>
          <w:sz w:val="22"/>
          <w:szCs w:val="22"/>
        </w:rPr>
      </w:pPr>
    </w:p>
    <w:p w14:paraId="301F629E" w14:textId="590E6E17" w:rsidR="00C76837" w:rsidRDefault="00AB03F1" w:rsidP="00C76837">
      <w:pPr>
        <w:spacing w:after="120"/>
        <w:rPr>
          <w:rFonts w:ascii="Arial" w:hAnsi="Arial" w:cs="Arial"/>
          <w:sz w:val="22"/>
          <w:szCs w:val="22"/>
        </w:rPr>
      </w:pPr>
      <w:r>
        <w:rPr>
          <w:rFonts w:ascii="Arial" w:hAnsi="Arial" w:cs="Arial"/>
          <w:b/>
          <w:color w:val="1F497D" w:themeColor="text2"/>
          <w:sz w:val="26"/>
          <w:szCs w:val="26"/>
        </w:rPr>
        <w:t xml:space="preserve">Profilo </w:t>
      </w:r>
      <w:r w:rsidR="000B63DB">
        <w:rPr>
          <w:rFonts w:ascii="Arial" w:hAnsi="Arial" w:cs="Arial"/>
          <w:b/>
          <w:color w:val="1F497D" w:themeColor="text2"/>
          <w:sz w:val="26"/>
          <w:szCs w:val="26"/>
        </w:rPr>
        <w:t xml:space="preserve">di </w:t>
      </w:r>
      <w:r>
        <w:rPr>
          <w:rFonts w:ascii="Arial" w:hAnsi="Arial" w:cs="Arial"/>
          <w:b/>
          <w:color w:val="1F497D" w:themeColor="text2"/>
          <w:sz w:val="26"/>
          <w:szCs w:val="26"/>
        </w:rPr>
        <w:t>età più maturo per chi si unisce civilmente</w:t>
      </w:r>
    </w:p>
    <w:p w14:paraId="3A0D4767" w14:textId="094A04F9" w:rsidR="00DA2FD3" w:rsidRDefault="00760195" w:rsidP="006C4834">
      <w:pPr>
        <w:spacing w:after="120"/>
        <w:jc w:val="both"/>
        <w:rPr>
          <w:rFonts w:ascii="Arial" w:hAnsi="Arial" w:cs="Arial"/>
          <w:sz w:val="22"/>
          <w:szCs w:val="22"/>
        </w:rPr>
      </w:pPr>
      <w:r>
        <w:rPr>
          <w:rFonts w:ascii="Arial" w:hAnsi="Arial" w:cs="Arial"/>
          <w:sz w:val="22"/>
          <w:szCs w:val="22"/>
        </w:rPr>
        <w:t>F</w:t>
      </w:r>
      <w:r w:rsidR="00D87222">
        <w:rPr>
          <w:rFonts w:ascii="Arial" w:hAnsi="Arial" w:cs="Arial"/>
          <w:sz w:val="22"/>
          <w:szCs w:val="22"/>
        </w:rPr>
        <w:t>ino al 2019 l</w:t>
      </w:r>
      <w:r w:rsidR="00DA2FD3" w:rsidRPr="00FA1FFF">
        <w:rPr>
          <w:rFonts w:ascii="Arial" w:hAnsi="Arial" w:cs="Arial"/>
          <w:sz w:val="22"/>
          <w:szCs w:val="22"/>
        </w:rPr>
        <w:t xml:space="preserve">a distribuzione per età degli uniti civilmente </w:t>
      </w:r>
      <w:r w:rsidR="00D87222">
        <w:rPr>
          <w:rFonts w:ascii="Arial" w:hAnsi="Arial" w:cs="Arial"/>
          <w:sz w:val="22"/>
          <w:szCs w:val="22"/>
        </w:rPr>
        <w:t>appariva</w:t>
      </w:r>
      <w:r w:rsidR="00DA2FD3" w:rsidRPr="00FA1FFF">
        <w:rPr>
          <w:rFonts w:ascii="Arial" w:hAnsi="Arial" w:cs="Arial"/>
          <w:sz w:val="22"/>
          <w:szCs w:val="22"/>
        </w:rPr>
        <w:t xml:space="preserve"> in progressivo “ringiovanimento”</w:t>
      </w:r>
      <w:r w:rsidR="00D87222">
        <w:rPr>
          <w:rFonts w:ascii="Arial" w:hAnsi="Arial" w:cs="Arial"/>
          <w:sz w:val="22"/>
          <w:szCs w:val="22"/>
        </w:rPr>
        <w:t xml:space="preserve"> rispetto al biennio 2016-2017</w:t>
      </w:r>
      <w:r w:rsidR="00C046D9">
        <w:rPr>
          <w:rFonts w:ascii="Arial" w:hAnsi="Arial" w:cs="Arial"/>
          <w:sz w:val="22"/>
          <w:szCs w:val="22"/>
        </w:rPr>
        <w:t>.</w:t>
      </w:r>
      <w:r w:rsidR="00D87222">
        <w:rPr>
          <w:rFonts w:ascii="Arial" w:hAnsi="Arial" w:cs="Arial"/>
          <w:sz w:val="22"/>
          <w:szCs w:val="22"/>
        </w:rPr>
        <w:t xml:space="preserve"> </w:t>
      </w:r>
      <w:r w:rsidR="00C046D9">
        <w:rPr>
          <w:rFonts w:ascii="Arial" w:hAnsi="Arial" w:cs="Arial"/>
          <w:sz w:val="22"/>
          <w:szCs w:val="22"/>
        </w:rPr>
        <w:t>L</w:t>
      </w:r>
      <w:r w:rsidR="00D87222">
        <w:rPr>
          <w:rFonts w:ascii="Arial" w:hAnsi="Arial" w:cs="Arial"/>
          <w:sz w:val="22"/>
          <w:szCs w:val="22"/>
        </w:rPr>
        <w:t xml:space="preserve">’introduzione nel nostro ordinamento di questo istituto giuridico, infatti, </w:t>
      </w:r>
      <w:r>
        <w:rPr>
          <w:rFonts w:ascii="Arial" w:hAnsi="Arial" w:cs="Arial"/>
          <w:sz w:val="22"/>
          <w:szCs w:val="22"/>
        </w:rPr>
        <w:t>ha</w:t>
      </w:r>
      <w:r w:rsidR="00D87222">
        <w:rPr>
          <w:rFonts w:ascii="Arial" w:hAnsi="Arial" w:cs="Arial"/>
          <w:sz w:val="22"/>
          <w:szCs w:val="22"/>
        </w:rPr>
        <w:t xml:space="preserve"> consentito </w:t>
      </w:r>
      <w:r w:rsidR="001D0850">
        <w:rPr>
          <w:rFonts w:ascii="Arial" w:hAnsi="Arial" w:cs="Arial"/>
          <w:sz w:val="22"/>
          <w:szCs w:val="22"/>
        </w:rPr>
        <w:t xml:space="preserve">inizialmente </w:t>
      </w:r>
      <w:r w:rsidR="00D87222">
        <w:rPr>
          <w:rFonts w:ascii="Arial" w:hAnsi="Arial" w:cs="Arial"/>
          <w:sz w:val="22"/>
          <w:szCs w:val="22"/>
        </w:rPr>
        <w:t xml:space="preserve">a </w:t>
      </w:r>
      <w:r w:rsidR="00DA2FD3" w:rsidRPr="00FA1FFF">
        <w:rPr>
          <w:rFonts w:ascii="Arial" w:hAnsi="Arial" w:cs="Arial"/>
          <w:sz w:val="22"/>
          <w:szCs w:val="22"/>
        </w:rPr>
        <w:t xml:space="preserve">coppie </w:t>
      </w:r>
      <w:r>
        <w:rPr>
          <w:rFonts w:ascii="Arial" w:hAnsi="Arial" w:cs="Arial"/>
          <w:sz w:val="22"/>
          <w:szCs w:val="22"/>
        </w:rPr>
        <w:t xml:space="preserve">anche in età più avanzata </w:t>
      </w:r>
      <w:r w:rsidR="00D87222">
        <w:rPr>
          <w:rFonts w:ascii="Arial" w:hAnsi="Arial" w:cs="Arial"/>
          <w:sz w:val="22"/>
          <w:szCs w:val="22"/>
        </w:rPr>
        <w:t xml:space="preserve">- </w:t>
      </w:r>
      <w:r w:rsidR="00DA2FD3" w:rsidRPr="00FA1FFF">
        <w:rPr>
          <w:rFonts w:ascii="Arial" w:hAnsi="Arial" w:cs="Arial"/>
          <w:sz w:val="22"/>
          <w:szCs w:val="22"/>
        </w:rPr>
        <w:t xml:space="preserve">che </w:t>
      </w:r>
      <w:r w:rsidR="00621D49">
        <w:rPr>
          <w:rFonts w:ascii="Arial" w:hAnsi="Arial" w:cs="Arial"/>
          <w:sz w:val="22"/>
          <w:szCs w:val="22"/>
        </w:rPr>
        <w:t xml:space="preserve">da tempo </w:t>
      </w:r>
      <w:r w:rsidR="00D87222">
        <w:rPr>
          <w:rFonts w:ascii="Arial" w:hAnsi="Arial" w:cs="Arial"/>
          <w:sz w:val="22"/>
          <w:szCs w:val="22"/>
        </w:rPr>
        <w:t>aspettavano tale</w:t>
      </w:r>
      <w:r w:rsidR="00DA2FD3" w:rsidRPr="00FA1FFF">
        <w:rPr>
          <w:rFonts w:ascii="Arial" w:hAnsi="Arial" w:cs="Arial"/>
          <w:sz w:val="22"/>
          <w:szCs w:val="22"/>
        </w:rPr>
        <w:t xml:space="preserve"> possibilità</w:t>
      </w:r>
      <w:r w:rsidR="00D87222">
        <w:rPr>
          <w:rFonts w:ascii="Arial" w:hAnsi="Arial" w:cs="Arial"/>
          <w:sz w:val="22"/>
          <w:szCs w:val="22"/>
        </w:rPr>
        <w:t xml:space="preserve"> -</w:t>
      </w:r>
      <w:r w:rsidR="00DA2FD3" w:rsidRPr="00FA1FFF">
        <w:rPr>
          <w:rFonts w:ascii="Arial" w:hAnsi="Arial" w:cs="Arial"/>
          <w:sz w:val="22"/>
          <w:szCs w:val="22"/>
        </w:rPr>
        <w:t xml:space="preserve"> di uff</w:t>
      </w:r>
      <w:r w:rsidR="00D87222">
        <w:rPr>
          <w:rFonts w:ascii="Arial" w:hAnsi="Arial" w:cs="Arial"/>
          <w:sz w:val="22"/>
          <w:szCs w:val="22"/>
        </w:rPr>
        <w:t>icializzare la propria famiglia e da qui il profilo più maturo che ha contraddistinto questa prima fase.</w:t>
      </w:r>
      <w:r w:rsidR="001D0850">
        <w:rPr>
          <w:rFonts w:ascii="Arial" w:hAnsi="Arial" w:cs="Arial"/>
          <w:sz w:val="22"/>
          <w:szCs w:val="22"/>
        </w:rPr>
        <w:t xml:space="preserve"> Negli anni a seguire </w:t>
      </w:r>
      <w:r w:rsidR="00C046D9">
        <w:rPr>
          <w:rFonts w:ascii="Arial" w:hAnsi="Arial" w:cs="Arial"/>
          <w:sz w:val="22"/>
          <w:szCs w:val="22"/>
        </w:rPr>
        <w:t xml:space="preserve">le età si sono </w:t>
      </w:r>
      <w:r w:rsidR="001D0850">
        <w:rPr>
          <w:rFonts w:ascii="Arial" w:hAnsi="Arial" w:cs="Arial"/>
          <w:sz w:val="22"/>
          <w:szCs w:val="22"/>
        </w:rPr>
        <w:t>progressiv</w:t>
      </w:r>
      <w:r w:rsidR="00C046D9">
        <w:rPr>
          <w:rFonts w:ascii="Arial" w:hAnsi="Arial" w:cs="Arial"/>
          <w:sz w:val="22"/>
          <w:szCs w:val="22"/>
        </w:rPr>
        <w:t>amente</w:t>
      </w:r>
      <w:r w:rsidR="001D0850">
        <w:rPr>
          <w:rFonts w:ascii="Arial" w:hAnsi="Arial" w:cs="Arial"/>
          <w:sz w:val="22"/>
          <w:szCs w:val="22"/>
        </w:rPr>
        <w:t xml:space="preserve"> abbassa</w:t>
      </w:r>
      <w:r w:rsidR="00C046D9">
        <w:rPr>
          <w:rFonts w:ascii="Arial" w:hAnsi="Arial" w:cs="Arial"/>
          <w:sz w:val="22"/>
          <w:szCs w:val="22"/>
        </w:rPr>
        <w:t>te</w:t>
      </w:r>
      <w:r w:rsidR="001D0850">
        <w:rPr>
          <w:rFonts w:ascii="Arial" w:hAnsi="Arial" w:cs="Arial"/>
          <w:sz w:val="22"/>
          <w:szCs w:val="22"/>
        </w:rPr>
        <w:t>.</w:t>
      </w:r>
    </w:p>
    <w:p w14:paraId="1FFFD657" w14:textId="32E0C8FF" w:rsidR="00760195" w:rsidRDefault="00C046D9" w:rsidP="00C76837">
      <w:pPr>
        <w:spacing w:after="120"/>
        <w:jc w:val="both"/>
        <w:outlineLvl w:val="0"/>
        <w:rPr>
          <w:rFonts w:ascii="Arial" w:hAnsi="Arial" w:cs="Arial"/>
          <w:sz w:val="22"/>
          <w:szCs w:val="22"/>
        </w:rPr>
      </w:pPr>
      <w:r>
        <w:rPr>
          <w:rFonts w:ascii="Arial" w:hAnsi="Arial" w:cs="Arial"/>
          <w:sz w:val="22"/>
          <w:szCs w:val="22"/>
        </w:rPr>
        <w:t>Nell’anno della</w:t>
      </w:r>
      <w:r w:rsidR="00EF51C6">
        <w:rPr>
          <w:rFonts w:ascii="Arial" w:hAnsi="Arial" w:cs="Arial"/>
          <w:sz w:val="22"/>
          <w:szCs w:val="22"/>
        </w:rPr>
        <w:t xml:space="preserve"> pandemia</w:t>
      </w:r>
      <w:r w:rsidR="005673FE">
        <w:rPr>
          <w:rFonts w:ascii="Arial" w:hAnsi="Arial" w:cs="Arial"/>
          <w:sz w:val="22"/>
          <w:szCs w:val="22"/>
        </w:rPr>
        <w:t xml:space="preserve"> </w:t>
      </w:r>
      <w:r w:rsidR="00130872">
        <w:rPr>
          <w:rFonts w:ascii="Arial" w:hAnsi="Arial" w:cs="Arial"/>
          <w:sz w:val="22"/>
          <w:szCs w:val="22"/>
        </w:rPr>
        <w:t xml:space="preserve">il profilo per età </w:t>
      </w:r>
      <w:r w:rsidR="00C929F8">
        <w:rPr>
          <w:rFonts w:ascii="Arial" w:hAnsi="Arial" w:cs="Arial"/>
          <w:sz w:val="22"/>
          <w:szCs w:val="22"/>
        </w:rPr>
        <w:t>nelle unioni civili</w:t>
      </w:r>
      <w:r>
        <w:rPr>
          <w:rFonts w:ascii="Arial" w:hAnsi="Arial" w:cs="Arial"/>
          <w:sz w:val="22"/>
          <w:szCs w:val="22"/>
        </w:rPr>
        <w:t xml:space="preserve"> è però di nuovo cambiato</w:t>
      </w:r>
      <w:r w:rsidR="00130872">
        <w:rPr>
          <w:rFonts w:ascii="Arial" w:hAnsi="Arial" w:cs="Arial"/>
          <w:sz w:val="22"/>
          <w:szCs w:val="22"/>
        </w:rPr>
        <w:t xml:space="preserve">. </w:t>
      </w:r>
      <w:r w:rsidR="00760195">
        <w:rPr>
          <w:rFonts w:ascii="Arial" w:hAnsi="Arial" w:cs="Arial"/>
          <w:sz w:val="22"/>
          <w:szCs w:val="22"/>
        </w:rPr>
        <w:t>L</w:t>
      </w:r>
      <w:r w:rsidR="00CE51B9">
        <w:rPr>
          <w:rFonts w:ascii="Arial" w:hAnsi="Arial" w:cs="Arial"/>
          <w:sz w:val="22"/>
          <w:szCs w:val="22"/>
        </w:rPr>
        <w:t>a classe di età che ha registrato il maggior incremento è quella de</w:t>
      </w:r>
      <w:r w:rsidR="00130872">
        <w:rPr>
          <w:rFonts w:ascii="Arial" w:hAnsi="Arial" w:cs="Arial"/>
          <w:sz w:val="22"/>
          <w:szCs w:val="22"/>
        </w:rPr>
        <w:t>gli uniti con almeno 60 anni</w:t>
      </w:r>
      <w:r w:rsidR="00CE51B9">
        <w:rPr>
          <w:rFonts w:ascii="Arial" w:hAnsi="Arial" w:cs="Arial"/>
          <w:sz w:val="22"/>
          <w:szCs w:val="22"/>
        </w:rPr>
        <w:t>:</w:t>
      </w:r>
      <w:r w:rsidR="00130872">
        <w:rPr>
          <w:rFonts w:ascii="Arial" w:hAnsi="Arial" w:cs="Arial"/>
          <w:sz w:val="22"/>
          <w:szCs w:val="22"/>
        </w:rPr>
        <w:t xml:space="preserve"> sono il 16,5% degli uomini (11,1% nel 2019) e l’8,7% delle donne (5,8%</w:t>
      </w:r>
      <w:r w:rsidR="00CE51B9">
        <w:rPr>
          <w:rFonts w:ascii="Arial" w:hAnsi="Arial" w:cs="Arial"/>
          <w:sz w:val="22"/>
          <w:szCs w:val="22"/>
        </w:rPr>
        <w:t>)</w:t>
      </w:r>
      <w:r w:rsidR="00760195">
        <w:rPr>
          <w:rFonts w:ascii="Arial" w:hAnsi="Arial" w:cs="Arial"/>
          <w:sz w:val="22"/>
          <w:szCs w:val="22"/>
        </w:rPr>
        <w:t>.</w:t>
      </w:r>
      <w:r w:rsidR="00CE51B9">
        <w:rPr>
          <w:rFonts w:ascii="Arial" w:hAnsi="Arial" w:cs="Arial"/>
          <w:sz w:val="22"/>
          <w:szCs w:val="22"/>
        </w:rPr>
        <w:t xml:space="preserve"> </w:t>
      </w:r>
      <w:r w:rsidR="00760195">
        <w:rPr>
          <w:rFonts w:ascii="Arial" w:hAnsi="Arial" w:cs="Arial"/>
          <w:sz w:val="22"/>
          <w:szCs w:val="22"/>
        </w:rPr>
        <w:t>Risultano in</w:t>
      </w:r>
      <w:r w:rsidR="00CE51B9">
        <w:rPr>
          <w:rFonts w:ascii="Arial" w:hAnsi="Arial" w:cs="Arial"/>
          <w:sz w:val="22"/>
          <w:szCs w:val="22"/>
        </w:rPr>
        <w:t xml:space="preserve"> crescita anche gli uniti nella classe di età subito precedente (da 50 a 59 anni)</w:t>
      </w:r>
      <w:r w:rsidR="00FB13F8">
        <w:rPr>
          <w:rFonts w:ascii="Arial" w:hAnsi="Arial" w:cs="Arial"/>
          <w:sz w:val="22"/>
          <w:szCs w:val="22"/>
        </w:rPr>
        <w:t>.</w:t>
      </w:r>
      <w:r w:rsidR="00FB13F8" w:rsidRPr="00FB13F8">
        <w:rPr>
          <w:rFonts w:ascii="Arial" w:hAnsi="Arial" w:cs="Arial"/>
          <w:sz w:val="22"/>
          <w:szCs w:val="22"/>
        </w:rPr>
        <w:t xml:space="preserve"> </w:t>
      </w:r>
    </w:p>
    <w:p w14:paraId="73B5DF5F" w14:textId="2D74C41C" w:rsidR="00760195" w:rsidRDefault="00760195" w:rsidP="00C76837">
      <w:pPr>
        <w:spacing w:after="120"/>
        <w:jc w:val="both"/>
        <w:outlineLvl w:val="0"/>
        <w:rPr>
          <w:rFonts w:ascii="Arial" w:hAnsi="Arial" w:cs="Arial"/>
          <w:sz w:val="22"/>
          <w:szCs w:val="22"/>
        </w:rPr>
      </w:pPr>
      <w:r>
        <w:rPr>
          <w:rFonts w:ascii="Arial" w:hAnsi="Arial" w:cs="Arial"/>
          <w:sz w:val="22"/>
          <w:szCs w:val="22"/>
        </w:rPr>
        <w:t xml:space="preserve">Queste evidenze trovano riscontro nell’età media all’unione civile che cresce in </w:t>
      </w:r>
      <w:r w:rsidR="00C046D9">
        <w:rPr>
          <w:rFonts w:ascii="Arial" w:hAnsi="Arial" w:cs="Arial"/>
          <w:sz w:val="22"/>
          <w:szCs w:val="22"/>
        </w:rPr>
        <w:t xml:space="preserve">misura </w:t>
      </w:r>
      <w:r>
        <w:rPr>
          <w:rFonts w:ascii="Arial" w:hAnsi="Arial" w:cs="Arial"/>
          <w:sz w:val="22"/>
          <w:szCs w:val="22"/>
        </w:rPr>
        <w:t>eccezionale</w:t>
      </w:r>
      <w:r w:rsidR="00204CF6">
        <w:rPr>
          <w:rFonts w:ascii="Arial" w:hAnsi="Arial" w:cs="Arial"/>
          <w:sz w:val="22"/>
          <w:szCs w:val="22"/>
        </w:rPr>
        <w:t xml:space="preserve"> tra il 2019 e il 2020: 2,8 anni in più per gli uomini (da 44,5 a 47,2 anni) e </w:t>
      </w:r>
      <w:r w:rsidR="00C046D9">
        <w:rPr>
          <w:rFonts w:ascii="Arial" w:hAnsi="Arial" w:cs="Arial"/>
          <w:sz w:val="22"/>
          <w:szCs w:val="22"/>
        </w:rPr>
        <w:t>+</w:t>
      </w:r>
      <w:r w:rsidR="00204CF6">
        <w:rPr>
          <w:rFonts w:ascii="Arial" w:hAnsi="Arial" w:cs="Arial"/>
          <w:sz w:val="22"/>
          <w:szCs w:val="22"/>
        </w:rPr>
        <w:t>2,2 anni per le donne (da 39,6 a 41,8 anni).</w:t>
      </w:r>
    </w:p>
    <w:p w14:paraId="698B2A61" w14:textId="5B5A74A5" w:rsidR="006C5B25" w:rsidRPr="004D4107" w:rsidRDefault="009422EB" w:rsidP="00C76837">
      <w:pPr>
        <w:spacing w:after="120"/>
        <w:jc w:val="both"/>
        <w:outlineLvl w:val="0"/>
        <w:rPr>
          <w:rFonts w:ascii="Arial" w:hAnsi="Arial" w:cs="Arial"/>
          <w:sz w:val="22"/>
          <w:szCs w:val="22"/>
        </w:rPr>
      </w:pPr>
      <w:r>
        <w:rPr>
          <w:rFonts w:ascii="Arial" w:hAnsi="Arial" w:cs="Arial"/>
          <w:sz w:val="22"/>
          <w:szCs w:val="22"/>
        </w:rPr>
        <w:t xml:space="preserve">La struttura per età di chi entra in unione </w:t>
      </w:r>
      <w:r w:rsidR="00204CF6">
        <w:rPr>
          <w:rFonts w:ascii="Arial" w:hAnsi="Arial" w:cs="Arial"/>
          <w:sz w:val="22"/>
          <w:szCs w:val="22"/>
        </w:rPr>
        <w:t>è</w:t>
      </w:r>
      <w:r>
        <w:rPr>
          <w:rFonts w:ascii="Arial" w:hAnsi="Arial" w:cs="Arial"/>
          <w:sz w:val="22"/>
          <w:szCs w:val="22"/>
        </w:rPr>
        <w:t xml:space="preserve"> molto diversa da </w:t>
      </w:r>
      <w:r w:rsidR="00EF51C6">
        <w:rPr>
          <w:rFonts w:ascii="Arial" w:hAnsi="Arial" w:cs="Arial"/>
          <w:sz w:val="22"/>
          <w:szCs w:val="22"/>
        </w:rPr>
        <w:t>quella di chi si sposa</w:t>
      </w:r>
      <w:r w:rsidR="0083287D">
        <w:rPr>
          <w:rFonts w:ascii="Arial" w:hAnsi="Arial" w:cs="Arial"/>
          <w:sz w:val="22"/>
          <w:szCs w:val="22"/>
        </w:rPr>
        <w:t>, soprattutto per gli uomini</w:t>
      </w:r>
      <w:r w:rsidR="00EF51C6">
        <w:rPr>
          <w:rFonts w:ascii="Arial" w:hAnsi="Arial" w:cs="Arial"/>
          <w:sz w:val="22"/>
          <w:szCs w:val="22"/>
        </w:rPr>
        <w:t xml:space="preserve">. </w:t>
      </w:r>
      <w:r w:rsidR="00C046D9">
        <w:rPr>
          <w:rFonts w:ascii="Arial" w:hAnsi="Arial" w:cs="Arial"/>
          <w:sz w:val="22"/>
          <w:szCs w:val="22"/>
        </w:rPr>
        <w:t>G</w:t>
      </w:r>
      <w:r w:rsidR="00FB13F8" w:rsidRPr="004D4107">
        <w:rPr>
          <w:rFonts w:ascii="Arial" w:hAnsi="Arial" w:cs="Arial"/>
          <w:sz w:val="22"/>
          <w:szCs w:val="22"/>
        </w:rPr>
        <w:t xml:space="preserve">li </w:t>
      </w:r>
      <w:r w:rsidR="00FB13F8">
        <w:rPr>
          <w:rFonts w:ascii="Arial" w:hAnsi="Arial" w:cs="Arial"/>
          <w:sz w:val="22"/>
          <w:szCs w:val="22"/>
        </w:rPr>
        <w:t>uomini che hanno costituito un’unione civile</w:t>
      </w:r>
      <w:r w:rsidR="00FB13F8" w:rsidRPr="004D4107">
        <w:rPr>
          <w:rFonts w:ascii="Arial" w:hAnsi="Arial" w:cs="Arial"/>
          <w:sz w:val="22"/>
          <w:szCs w:val="22"/>
        </w:rPr>
        <w:t xml:space="preserve"> sono il 14%</w:t>
      </w:r>
      <w:r w:rsidR="00C046D9">
        <w:rPr>
          <w:rFonts w:ascii="Arial" w:hAnsi="Arial" w:cs="Arial"/>
          <w:sz w:val="22"/>
          <w:szCs w:val="22"/>
        </w:rPr>
        <w:t xml:space="preserve"> tra</w:t>
      </w:r>
      <w:r w:rsidR="00C046D9" w:rsidRPr="004D4107">
        <w:rPr>
          <w:rFonts w:ascii="Arial" w:hAnsi="Arial" w:cs="Arial"/>
          <w:sz w:val="22"/>
          <w:szCs w:val="22"/>
        </w:rPr>
        <w:t xml:space="preserve"> i 50 e i 54 anni</w:t>
      </w:r>
      <w:r w:rsidR="00FB13F8" w:rsidRPr="004D4107">
        <w:rPr>
          <w:rFonts w:ascii="Arial" w:hAnsi="Arial" w:cs="Arial"/>
          <w:sz w:val="22"/>
          <w:szCs w:val="22"/>
        </w:rPr>
        <w:t xml:space="preserve"> e</w:t>
      </w:r>
      <w:r w:rsidR="00C046D9">
        <w:rPr>
          <w:rFonts w:ascii="Arial" w:hAnsi="Arial" w:cs="Arial"/>
          <w:sz w:val="22"/>
          <w:szCs w:val="22"/>
        </w:rPr>
        <w:t xml:space="preserve"> </w:t>
      </w:r>
      <w:r w:rsidR="00C046D9" w:rsidRPr="004D4107">
        <w:rPr>
          <w:rFonts w:ascii="Arial" w:hAnsi="Arial" w:cs="Arial"/>
          <w:sz w:val="22"/>
          <w:szCs w:val="22"/>
        </w:rPr>
        <w:t>l’11,7</w:t>
      </w:r>
      <w:r w:rsidR="005834AC">
        <w:rPr>
          <w:rFonts w:ascii="Arial" w:hAnsi="Arial" w:cs="Arial"/>
          <w:sz w:val="22"/>
          <w:szCs w:val="22"/>
        </w:rPr>
        <w:t>%</w:t>
      </w:r>
      <w:r w:rsidR="00FB13F8" w:rsidRPr="004D4107">
        <w:rPr>
          <w:rFonts w:ascii="Arial" w:hAnsi="Arial" w:cs="Arial"/>
          <w:sz w:val="22"/>
          <w:szCs w:val="22"/>
        </w:rPr>
        <w:t xml:space="preserve"> tra i 55 e i 59 anni</w:t>
      </w:r>
      <w:r w:rsidR="00C046D9">
        <w:rPr>
          <w:rFonts w:ascii="Arial" w:hAnsi="Arial" w:cs="Arial"/>
          <w:sz w:val="22"/>
          <w:szCs w:val="22"/>
        </w:rPr>
        <w:t>:</w:t>
      </w:r>
      <w:r w:rsidR="00C22FAE">
        <w:rPr>
          <w:rFonts w:ascii="Arial" w:hAnsi="Arial" w:cs="Arial"/>
          <w:sz w:val="22"/>
          <w:szCs w:val="22"/>
        </w:rPr>
        <w:t xml:space="preserve"> tali quote si dimezzano se si tratta di sposi</w:t>
      </w:r>
      <w:r w:rsidR="00FB13F8" w:rsidRPr="004D4107">
        <w:rPr>
          <w:rFonts w:ascii="Arial" w:hAnsi="Arial" w:cs="Arial"/>
          <w:sz w:val="22"/>
          <w:szCs w:val="22"/>
        </w:rPr>
        <w:t>.</w:t>
      </w:r>
      <w:r w:rsidR="00FB13F8">
        <w:rPr>
          <w:rFonts w:ascii="Arial" w:hAnsi="Arial" w:cs="Arial"/>
          <w:sz w:val="22"/>
          <w:szCs w:val="22"/>
        </w:rPr>
        <w:t xml:space="preserve"> </w:t>
      </w:r>
      <w:r w:rsidR="00C47F7A">
        <w:rPr>
          <w:rFonts w:ascii="Arial" w:hAnsi="Arial" w:cs="Arial"/>
          <w:sz w:val="22"/>
          <w:szCs w:val="22"/>
        </w:rPr>
        <w:t>In altre parole</w:t>
      </w:r>
      <w:r w:rsidR="00404DB4">
        <w:rPr>
          <w:rFonts w:ascii="Arial" w:hAnsi="Arial" w:cs="Arial"/>
          <w:sz w:val="22"/>
          <w:szCs w:val="22"/>
        </w:rPr>
        <w:t>,</w:t>
      </w:r>
      <w:r w:rsidR="00C47F7A">
        <w:rPr>
          <w:rFonts w:ascii="Arial" w:hAnsi="Arial" w:cs="Arial"/>
          <w:sz w:val="22"/>
          <w:szCs w:val="22"/>
        </w:rPr>
        <w:t xml:space="preserve"> g</w:t>
      </w:r>
      <w:r w:rsidR="006C5B25" w:rsidRPr="004D4107">
        <w:rPr>
          <w:rFonts w:ascii="Arial" w:hAnsi="Arial" w:cs="Arial"/>
          <w:sz w:val="22"/>
          <w:szCs w:val="22"/>
        </w:rPr>
        <w:t xml:space="preserve">li uniti civilmente presentano valori consistenti di unioni in classi </w:t>
      </w:r>
      <w:r w:rsidR="00C47F7A">
        <w:rPr>
          <w:rFonts w:ascii="Arial" w:hAnsi="Arial" w:cs="Arial"/>
          <w:sz w:val="22"/>
          <w:szCs w:val="22"/>
        </w:rPr>
        <w:t xml:space="preserve">di età </w:t>
      </w:r>
      <w:r w:rsidR="006C5B25" w:rsidRPr="004D4107">
        <w:rPr>
          <w:rFonts w:ascii="Arial" w:hAnsi="Arial" w:cs="Arial"/>
          <w:sz w:val="22"/>
          <w:szCs w:val="22"/>
        </w:rPr>
        <w:t>in cui i matrimoni sol</w:t>
      </w:r>
      <w:r w:rsidR="00FB13F8">
        <w:rPr>
          <w:rFonts w:ascii="Arial" w:hAnsi="Arial" w:cs="Arial"/>
          <w:sz w:val="22"/>
          <w:szCs w:val="22"/>
        </w:rPr>
        <w:t>itamente cominciano a diradarsi</w:t>
      </w:r>
      <w:r w:rsidR="00EF51C6">
        <w:rPr>
          <w:rFonts w:ascii="Arial" w:hAnsi="Arial" w:cs="Arial"/>
          <w:sz w:val="22"/>
          <w:szCs w:val="22"/>
        </w:rPr>
        <w:t>.</w:t>
      </w:r>
      <w:r w:rsidR="00C22FAE">
        <w:rPr>
          <w:rFonts w:ascii="Arial" w:hAnsi="Arial" w:cs="Arial"/>
          <w:sz w:val="22"/>
          <w:szCs w:val="22"/>
        </w:rPr>
        <w:t xml:space="preserve"> </w:t>
      </w:r>
    </w:p>
    <w:p w14:paraId="1C2423E5" w14:textId="1AE72357" w:rsidR="0028596C" w:rsidRDefault="0028596C" w:rsidP="00C76837">
      <w:pPr>
        <w:spacing w:after="120"/>
        <w:jc w:val="both"/>
        <w:outlineLvl w:val="0"/>
        <w:rPr>
          <w:rFonts w:ascii="Arial" w:hAnsi="Arial" w:cs="Arial"/>
          <w:sz w:val="22"/>
          <w:szCs w:val="22"/>
        </w:rPr>
      </w:pPr>
      <w:r w:rsidRPr="00DF4CD6">
        <w:rPr>
          <w:rFonts w:ascii="Arial" w:hAnsi="Arial" w:cs="Arial"/>
          <w:sz w:val="22"/>
          <w:szCs w:val="22"/>
        </w:rPr>
        <w:t xml:space="preserve">Il 34,4% delle donne unite civilmente nel 2020 ha tra 30 e 39 anni, un valore molto simile a quanto si registra per le spose (37,3%). Ma, </w:t>
      </w:r>
      <w:r w:rsidR="00DF4CD6" w:rsidRPr="00DF4CD6">
        <w:rPr>
          <w:rFonts w:ascii="Arial" w:hAnsi="Arial" w:cs="Arial"/>
          <w:sz w:val="22"/>
          <w:szCs w:val="22"/>
        </w:rPr>
        <w:t>osservando</w:t>
      </w:r>
      <w:r w:rsidRPr="00DF4CD6">
        <w:rPr>
          <w:rFonts w:ascii="Arial" w:hAnsi="Arial" w:cs="Arial"/>
          <w:sz w:val="22"/>
          <w:szCs w:val="22"/>
        </w:rPr>
        <w:t xml:space="preserve"> le classi di età </w:t>
      </w:r>
      <w:r w:rsidR="00DF4CD6" w:rsidRPr="00DF4CD6">
        <w:rPr>
          <w:rFonts w:ascii="Arial" w:hAnsi="Arial" w:cs="Arial"/>
          <w:sz w:val="22"/>
          <w:szCs w:val="22"/>
        </w:rPr>
        <w:t>limitrofe</w:t>
      </w:r>
      <w:r w:rsidRPr="00DF4CD6">
        <w:rPr>
          <w:rFonts w:ascii="Arial" w:hAnsi="Arial" w:cs="Arial"/>
          <w:sz w:val="22"/>
          <w:szCs w:val="22"/>
        </w:rPr>
        <w:t xml:space="preserve">, si </w:t>
      </w:r>
      <w:r w:rsidR="00DF4CD6" w:rsidRPr="00DF4CD6">
        <w:rPr>
          <w:rFonts w:ascii="Arial" w:hAnsi="Arial" w:cs="Arial"/>
          <w:sz w:val="22"/>
          <w:szCs w:val="22"/>
        </w:rPr>
        <w:t>evidenziano</w:t>
      </w:r>
      <w:r w:rsidRPr="00DF4CD6">
        <w:rPr>
          <w:rFonts w:ascii="Arial" w:hAnsi="Arial" w:cs="Arial"/>
          <w:sz w:val="22"/>
          <w:szCs w:val="22"/>
        </w:rPr>
        <w:t xml:space="preserve"> comportamenti divergenti: le unite civilmente fino a 29 anni sono l’11,5% mentre le spose nella stessa fascia di età il 28,5%; parallelamente le unite tra 40 e 59 anni sono il 45,3%</w:t>
      </w:r>
      <w:r w:rsidR="00C47F7A">
        <w:rPr>
          <w:rFonts w:ascii="Arial" w:hAnsi="Arial" w:cs="Arial"/>
          <w:sz w:val="22"/>
          <w:szCs w:val="22"/>
        </w:rPr>
        <w:t>,</w:t>
      </w:r>
      <w:r w:rsidRPr="00DF4CD6">
        <w:rPr>
          <w:rFonts w:ascii="Arial" w:hAnsi="Arial" w:cs="Arial"/>
          <w:sz w:val="22"/>
          <w:szCs w:val="22"/>
        </w:rPr>
        <w:t xml:space="preserve"> le spose il 29,7%.</w:t>
      </w:r>
      <w:r>
        <w:rPr>
          <w:rFonts w:ascii="Arial" w:hAnsi="Arial" w:cs="Arial"/>
          <w:sz w:val="22"/>
          <w:szCs w:val="22"/>
        </w:rPr>
        <w:t xml:space="preserve"> </w:t>
      </w:r>
    </w:p>
    <w:p w14:paraId="5433145A" w14:textId="77777777" w:rsidR="0089585C" w:rsidRDefault="0089585C" w:rsidP="00C76837">
      <w:pPr>
        <w:spacing w:after="120"/>
        <w:jc w:val="both"/>
        <w:outlineLvl w:val="0"/>
        <w:rPr>
          <w:rFonts w:ascii="Arial" w:hAnsi="Arial" w:cs="Arial"/>
          <w:sz w:val="22"/>
          <w:szCs w:val="22"/>
        </w:rPr>
      </w:pPr>
    </w:p>
    <w:p w14:paraId="04950079" w14:textId="30438E15" w:rsidR="0089585C" w:rsidRPr="00AB03F1" w:rsidRDefault="0089585C" w:rsidP="00C76837">
      <w:pPr>
        <w:spacing w:after="120"/>
        <w:jc w:val="both"/>
        <w:outlineLvl w:val="0"/>
        <w:rPr>
          <w:rFonts w:ascii="Arial" w:hAnsi="Arial" w:cs="Arial"/>
          <w:b/>
          <w:color w:val="1F497D" w:themeColor="text2"/>
          <w:sz w:val="26"/>
          <w:szCs w:val="26"/>
        </w:rPr>
      </w:pPr>
      <w:r w:rsidRPr="00AB03F1">
        <w:rPr>
          <w:rFonts w:ascii="Arial" w:hAnsi="Arial" w:cs="Arial"/>
          <w:b/>
          <w:color w:val="1F497D" w:themeColor="text2"/>
          <w:sz w:val="26"/>
          <w:szCs w:val="26"/>
        </w:rPr>
        <w:t>Segnali di r</w:t>
      </w:r>
      <w:r w:rsidR="004D6A05">
        <w:rPr>
          <w:rFonts w:ascii="Arial" w:hAnsi="Arial" w:cs="Arial"/>
          <w:b/>
          <w:color w:val="1F497D" w:themeColor="text2"/>
          <w:sz w:val="26"/>
          <w:szCs w:val="26"/>
        </w:rPr>
        <w:t>ipresa</w:t>
      </w:r>
      <w:r w:rsidRPr="00AB03F1">
        <w:rPr>
          <w:rFonts w:ascii="Arial" w:hAnsi="Arial" w:cs="Arial"/>
          <w:b/>
          <w:color w:val="1F497D" w:themeColor="text2"/>
          <w:sz w:val="26"/>
          <w:szCs w:val="26"/>
        </w:rPr>
        <w:t xml:space="preserve"> nel 2021</w:t>
      </w:r>
      <w:r w:rsidR="006E1982" w:rsidRPr="00AB03F1">
        <w:rPr>
          <w:rFonts w:ascii="Arial" w:hAnsi="Arial" w:cs="Arial"/>
          <w:b/>
          <w:color w:val="1F497D" w:themeColor="text2"/>
          <w:sz w:val="26"/>
          <w:szCs w:val="26"/>
        </w:rPr>
        <w:t xml:space="preserve"> </w:t>
      </w:r>
      <w:r w:rsidR="000B63DB">
        <w:rPr>
          <w:rFonts w:ascii="Arial" w:hAnsi="Arial" w:cs="Arial"/>
          <w:b/>
          <w:color w:val="1F497D" w:themeColor="text2"/>
          <w:sz w:val="26"/>
          <w:szCs w:val="26"/>
        </w:rPr>
        <w:t>per</w:t>
      </w:r>
      <w:r w:rsidR="006E1982" w:rsidRPr="00AB03F1">
        <w:rPr>
          <w:rFonts w:ascii="Arial" w:hAnsi="Arial" w:cs="Arial"/>
          <w:b/>
          <w:color w:val="1F497D" w:themeColor="text2"/>
          <w:sz w:val="26"/>
          <w:szCs w:val="26"/>
        </w:rPr>
        <w:t xml:space="preserve"> </w:t>
      </w:r>
      <w:r w:rsidR="00E5781A" w:rsidRPr="00AB03F1">
        <w:rPr>
          <w:rFonts w:ascii="Arial" w:hAnsi="Arial" w:cs="Arial"/>
          <w:b/>
          <w:color w:val="1F497D" w:themeColor="text2"/>
          <w:sz w:val="26"/>
          <w:szCs w:val="26"/>
        </w:rPr>
        <w:t xml:space="preserve">unioni </w:t>
      </w:r>
      <w:r w:rsidR="006E1982" w:rsidRPr="00AB03F1">
        <w:rPr>
          <w:rFonts w:ascii="Arial" w:hAnsi="Arial" w:cs="Arial"/>
          <w:b/>
          <w:color w:val="1F497D" w:themeColor="text2"/>
          <w:sz w:val="26"/>
          <w:szCs w:val="26"/>
        </w:rPr>
        <w:t>coniugali e civili</w:t>
      </w:r>
    </w:p>
    <w:p w14:paraId="6E008100" w14:textId="1EA0F97B" w:rsidR="00B74243" w:rsidRDefault="00C74AF0" w:rsidP="006C4834">
      <w:pPr>
        <w:pStyle w:val="RAtesto"/>
        <w:spacing w:line="240" w:lineRule="auto"/>
        <w:rPr>
          <w:rFonts w:ascii="Arial" w:hAnsi="Arial"/>
          <w:sz w:val="22"/>
          <w:szCs w:val="22"/>
        </w:rPr>
      </w:pPr>
      <w:r>
        <w:rPr>
          <w:rFonts w:ascii="Arial" w:hAnsi="Arial"/>
          <w:sz w:val="22"/>
          <w:szCs w:val="22"/>
        </w:rPr>
        <w:t xml:space="preserve">Secondo i dati provvisori dei </w:t>
      </w:r>
      <w:r w:rsidR="00B74243" w:rsidRPr="00F57C59">
        <w:rPr>
          <w:rFonts w:ascii="Arial" w:hAnsi="Arial"/>
          <w:sz w:val="22"/>
          <w:szCs w:val="22"/>
        </w:rPr>
        <w:t>primi nove mesi del 2021</w:t>
      </w:r>
      <w:r w:rsidR="00A53721">
        <w:rPr>
          <w:rStyle w:val="Rimandonotadichiusura"/>
          <w:rFonts w:ascii="Arial" w:hAnsi="Arial"/>
          <w:sz w:val="22"/>
          <w:szCs w:val="22"/>
        </w:rPr>
        <w:endnoteReference w:id="8"/>
      </w:r>
      <w:r w:rsidR="00B74243" w:rsidRPr="00F57C59">
        <w:rPr>
          <w:rFonts w:ascii="Arial" w:hAnsi="Arial"/>
          <w:sz w:val="22"/>
          <w:szCs w:val="22"/>
        </w:rPr>
        <w:t xml:space="preserve"> </w:t>
      </w:r>
      <w:r>
        <w:rPr>
          <w:rFonts w:ascii="Arial" w:hAnsi="Arial"/>
          <w:sz w:val="22"/>
          <w:szCs w:val="22"/>
        </w:rPr>
        <w:t>i matrimoni</w:t>
      </w:r>
      <w:r w:rsidR="00A972EB" w:rsidRPr="00A972EB">
        <w:rPr>
          <w:rFonts w:ascii="Arial" w:hAnsi="Arial"/>
          <w:sz w:val="22"/>
          <w:szCs w:val="22"/>
        </w:rPr>
        <w:t xml:space="preserve"> </w:t>
      </w:r>
      <w:r w:rsidR="00A972EB" w:rsidRPr="00C74AF0">
        <w:rPr>
          <w:rFonts w:ascii="Arial" w:hAnsi="Arial"/>
          <w:sz w:val="22"/>
          <w:szCs w:val="22"/>
        </w:rPr>
        <w:t>sono raddoppiati</w:t>
      </w:r>
      <w:r w:rsidR="00A972EB">
        <w:rPr>
          <w:rFonts w:ascii="Arial" w:hAnsi="Arial"/>
          <w:sz w:val="22"/>
          <w:szCs w:val="22"/>
        </w:rPr>
        <w:t xml:space="preserve"> </w:t>
      </w:r>
      <w:r w:rsidRPr="00C74AF0">
        <w:rPr>
          <w:rFonts w:ascii="Arial" w:hAnsi="Arial"/>
          <w:sz w:val="22"/>
          <w:szCs w:val="22"/>
        </w:rPr>
        <w:t>rispetto allo stesso periodo del 2020.</w:t>
      </w:r>
      <w:r>
        <w:rPr>
          <w:rFonts w:ascii="Arial" w:hAnsi="Arial"/>
          <w:sz w:val="22"/>
          <w:szCs w:val="22"/>
        </w:rPr>
        <w:t xml:space="preserve"> </w:t>
      </w:r>
      <w:r w:rsidR="003402B4">
        <w:rPr>
          <w:rFonts w:ascii="Arial" w:hAnsi="Arial"/>
          <w:sz w:val="22"/>
          <w:szCs w:val="22"/>
        </w:rPr>
        <w:t>Questa ripresa delle nozze, tuttavia,</w:t>
      </w:r>
      <w:r w:rsidRPr="00C74AF0">
        <w:rPr>
          <w:rFonts w:ascii="Arial" w:hAnsi="Arial"/>
          <w:sz w:val="22"/>
          <w:szCs w:val="22"/>
        </w:rPr>
        <w:t xml:space="preserve"> </w:t>
      </w:r>
      <w:r w:rsidR="003402B4">
        <w:rPr>
          <w:rFonts w:ascii="Arial" w:hAnsi="Arial"/>
          <w:sz w:val="22"/>
          <w:szCs w:val="22"/>
        </w:rPr>
        <w:t xml:space="preserve">non è sufficiente a recuperare quelle </w:t>
      </w:r>
      <w:r w:rsidRPr="00C74AF0">
        <w:rPr>
          <w:rFonts w:ascii="Arial" w:hAnsi="Arial"/>
          <w:sz w:val="22"/>
          <w:szCs w:val="22"/>
        </w:rPr>
        <w:t>perse nel 2020</w:t>
      </w:r>
      <w:r w:rsidR="003402B4">
        <w:rPr>
          <w:rFonts w:ascii="Arial" w:hAnsi="Arial"/>
          <w:sz w:val="22"/>
          <w:szCs w:val="22"/>
        </w:rPr>
        <w:t>.</w:t>
      </w:r>
      <w:r>
        <w:rPr>
          <w:rFonts w:ascii="Arial" w:hAnsi="Arial"/>
          <w:sz w:val="22"/>
          <w:szCs w:val="22"/>
        </w:rPr>
        <w:t xml:space="preserve"> Confrontando</w:t>
      </w:r>
      <w:r w:rsidR="006F63D2">
        <w:rPr>
          <w:rFonts w:ascii="Arial" w:hAnsi="Arial"/>
          <w:sz w:val="22"/>
          <w:szCs w:val="22"/>
        </w:rPr>
        <w:t xml:space="preserve">, infatti, </w:t>
      </w:r>
      <w:r>
        <w:rPr>
          <w:rFonts w:ascii="Arial" w:hAnsi="Arial"/>
          <w:sz w:val="22"/>
          <w:szCs w:val="22"/>
        </w:rPr>
        <w:t xml:space="preserve">i primi nove mesi del 2021 con lo </w:t>
      </w:r>
      <w:r w:rsidR="006F63D2">
        <w:rPr>
          <w:rFonts w:ascii="Arial" w:hAnsi="Arial"/>
          <w:sz w:val="22"/>
          <w:szCs w:val="22"/>
        </w:rPr>
        <w:t>stesso</w:t>
      </w:r>
      <w:r>
        <w:rPr>
          <w:rFonts w:ascii="Arial" w:hAnsi="Arial"/>
          <w:sz w:val="22"/>
          <w:szCs w:val="22"/>
        </w:rPr>
        <w:t xml:space="preserve"> periodo pre-pandemico</w:t>
      </w:r>
      <w:r w:rsidR="00F57C59">
        <w:rPr>
          <w:rFonts w:ascii="Arial" w:hAnsi="Arial"/>
          <w:sz w:val="22"/>
          <w:szCs w:val="22"/>
        </w:rPr>
        <w:t xml:space="preserve"> </w:t>
      </w:r>
      <w:r>
        <w:rPr>
          <w:rFonts w:ascii="Arial" w:hAnsi="Arial"/>
          <w:sz w:val="22"/>
          <w:szCs w:val="22"/>
        </w:rPr>
        <w:t>la variazione</w:t>
      </w:r>
      <w:r w:rsidR="006F63D2">
        <w:rPr>
          <w:rFonts w:ascii="Arial" w:hAnsi="Arial"/>
          <w:sz w:val="22"/>
          <w:szCs w:val="22"/>
        </w:rPr>
        <w:t xml:space="preserve"> </w:t>
      </w:r>
      <w:r w:rsidR="000B63DB">
        <w:rPr>
          <w:rFonts w:ascii="Arial" w:hAnsi="Arial"/>
          <w:sz w:val="22"/>
          <w:szCs w:val="22"/>
        </w:rPr>
        <w:t xml:space="preserve">resta </w:t>
      </w:r>
      <w:r w:rsidR="006F63D2">
        <w:rPr>
          <w:rFonts w:ascii="Arial" w:hAnsi="Arial"/>
          <w:sz w:val="22"/>
          <w:szCs w:val="22"/>
        </w:rPr>
        <w:t>negativa (</w:t>
      </w:r>
      <w:r w:rsidR="00F57C59">
        <w:rPr>
          <w:rFonts w:ascii="Arial" w:hAnsi="Arial"/>
          <w:sz w:val="22"/>
          <w:szCs w:val="22"/>
        </w:rPr>
        <w:t>-4,5%)</w:t>
      </w:r>
      <w:r w:rsidR="00F57C59" w:rsidRPr="00F57C59">
        <w:rPr>
          <w:rFonts w:ascii="Arial" w:hAnsi="Arial"/>
          <w:sz w:val="22"/>
          <w:szCs w:val="22"/>
        </w:rPr>
        <w:t xml:space="preserve"> </w:t>
      </w:r>
      <w:r w:rsidR="003402B4">
        <w:rPr>
          <w:rFonts w:ascii="Arial" w:hAnsi="Arial"/>
          <w:sz w:val="22"/>
          <w:szCs w:val="22"/>
        </w:rPr>
        <w:t xml:space="preserve">e </w:t>
      </w:r>
      <w:r w:rsidR="00F57C59" w:rsidRPr="00F57C59">
        <w:rPr>
          <w:rFonts w:ascii="Arial" w:hAnsi="Arial"/>
          <w:sz w:val="22"/>
          <w:szCs w:val="22"/>
        </w:rPr>
        <w:t>in linea con la diminuz</w:t>
      </w:r>
      <w:r w:rsidR="00A402DD">
        <w:rPr>
          <w:rFonts w:ascii="Arial" w:hAnsi="Arial"/>
          <w:sz w:val="22"/>
          <w:szCs w:val="22"/>
        </w:rPr>
        <w:t>i</w:t>
      </w:r>
      <w:r w:rsidR="00F57C59" w:rsidRPr="00F57C59">
        <w:rPr>
          <w:rFonts w:ascii="Arial" w:hAnsi="Arial"/>
          <w:sz w:val="22"/>
          <w:szCs w:val="22"/>
        </w:rPr>
        <w:t xml:space="preserve">one già </w:t>
      </w:r>
      <w:r w:rsidR="000B63DB" w:rsidRPr="00F57C59">
        <w:rPr>
          <w:rFonts w:ascii="Arial" w:hAnsi="Arial"/>
          <w:sz w:val="22"/>
          <w:szCs w:val="22"/>
        </w:rPr>
        <w:t>sperimenta</w:t>
      </w:r>
      <w:r w:rsidR="000B63DB">
        <w:rPr>
          <w:rFonts w:ascii="Arial" w:hAnsi="Arial"/>
          <w:sz w:val="22"/>
          <w:szCs w:val="22"/>
        </w:rPr>
        <w:t xml:space="preserve">ta </w:t>
      </w:r>
      <w:r w:rsidR="00F57C59">
        <w:rPr>
          <w:rFonts w:ascii="Arial" w:hAnsi="Arial"/>
          <w:sz w:val="22"/>
          <w:szCs w:val="22"/>
        </w:rPr>
        <w:t>negli anni più recenti</w:t>
      </w:r>
      <w:r w:rsidR="007623EC">
        <w:rPr>
          <w:rFonts w:ascii="Arial" w:hAnsi="Arial"/>
          <w:sz w:val="22"/>
          <w:szCs w:val="22"/>
        </w:rPr>
        <w:t xml:space="preserve"> (Figura 5)</w:t>
      </w:r>
      <w:r w:rsidR="00F57C59" w:rsidRPr="00F57C59">
        <w:rPr>
          <w:rFonts w:ascii="Arial" w:hAnsi="Arial"/>
          <w:sz w:val="22"/>
          <w:szCs w:val="22"/>
        </w:rPr>
        <w:t>.</w:t>
      </w:r>
      <w:r w:rsidR="00B74243" w:rsidRPr="00F57C59">
        <w:rPr>
          <w:rFonts w:ascii="Arial" w:hAnsi="Arial"/>
          <w:sz w:val="22"/>
          <w:szCs w:val="22"/>
        </w:rPr>
        <w:t xml:space="preserve"> </w:t>
      </w:r>
    </w:p>
    <w:p w14:paraId="58D5BED1" w14:textId="7556B896" w:rsidR="00776D24" w:rsidRDefault="00485ED1">
      <w:pPr>
        <w:pStyle w:val="RAtesto"/>
        <w:spacing w:line="240" w:lineRule="auto"/>
        <w:rPr>
          <w:rFonts w:ascii="Arial" w:hAnsi="Arial"/>
          <w:sz w:val="22"/>
          <w:szCs w:val="22"/>
        </w:rPr>
      </w:pPr>
      <w:r>
        <w:rPr>
          <w:rFonts w:ascii="Arial" w:hAnsi="Arial"/>
          <w:sz w:val="22"/>
          <w:szCs w:val="22"/>
        </w:rPr>
        <w:t xml:space="preserve">Mettendo a confronto il 2021 con il 2020, la tipologia di matrimonio </w:t>
      </w:r>
      <w:r w:rsidR="00C929F8">
        <w:rPr>
          <w:rFonts w:ascii="Arial" w:hAnsi="Arial"/>
          <w:sz w:val="22"/>
          <w:szCs w:val="22"/>
        </w:rPr>
        <w:t>più</w:t>
      </w:r>
      <w:r>
        <w:rPr>
          <w:rFonts w:ascii="Arial" w:hAnsi="Arial"/>
          <w:sz w:val="22"/>
          <w:szCs w:val="22"/>
        </w:rPr>
        <w:t xml:space="preserve"> </w:t>
      </w:r>
      <w:r w:rsidR="003402B4">
        <w:rPr>
          <w:rFonts w:ascii="Arial" w:hAnsi="Arial"/>
          <w:sz w:val="22"/>
          <w:szCs w:val="22"/>
        </w:rPr>
        <w:t xml:space="preserve">in ripresa </w:t>
      </w:r>
      <w:r>
        <w:rPr>
          <w:rFonts w:ascii="Arial" w:hAnsi="Arial"/>
          <w:sz w:val="22"/>
          <w:szCs w:val="22"/>
        </w:rPr>
        <w:t>è quella</w:t>
      </w:r>
      <w:r w:rsidR="000B63DB">
        <w:rPr>
          <w:rFonts w:ascii="Arial" w:hAnsi="Arial"/>
          <w:sz w:val="22"/>
          <w:szCs w:val="22"/>
        </w:rPr>
        <w:t xml:space="preserve"> dei primi matrimoni religiosi,</w:t>
      </w:r>
      <w:r>
        <w:rPr>
          <w:rFonts w:ascii="Arial" w:hAnsi="Arial"/>
          <w:sz w:val="22"/>
          <w:szCs w:val="22"/>
        </w:rPr>
        <w:t xml:space="preserve"> </w:t>
      </w:r>
      <w:r w:rsidR="006F63D2">
        <w:rPr>
          <w:rFonts w:ascii="Arial" w:hAnsi="Arial"/>
          <w:sz w:val="22"/>
          <w:szCs w:val="22"/>
        </w:rPr>
        <w:t>che aveva registrato il calo maggiore</w:t>
      </w:r>
      <w:r>
        <w:rPr>
          <w:rFonts w:ascii="Arial" w:hAnsi="Arial"/>
          <w:sz w:val="22"/>
          <w:szCs w:val="22"/>
        </w:rPr>
        <w:t xml:space="preserve"> durante la diffusione dell’epidemia</w:t>
      </w:r>
      <w:r w:rsidR="000B63DB">
        <w:rPr>
          <w:rFonts w:ascii="Arial" w:hAnsi="Arial"/>
          <w:sz w:val="22"/>
          <w:szCs w:val="22"/>
        </w:rPr>
        <w:t>. Questi</w:t>
      </w:r>
      <w:r>
        <w:rPr>
          <w:rFonts w:ascii="Arial" w:hAnsi="Arial"/>
          <w:sz w:val="22"/>
          <w:szCs w:val="22"/>
        </w:rPr>
        <w:t xml:space="preserve"> risultano infatti più che quadruplicati (+228%)</w:t>
      </w:r>
      <w:r w:rsidR="000B63DB">
        <w:rPr>
          <w:rFonts w:ascii="Arial" w:hAnsi="Arial"/>
          <w:sz w:val="22"/>
          <w:szCs w:val="22"/>
        </w:rPr>
        <w:t xml:space="preserve"> m</w:t>
      </w:r>
      <w:r w:rsidR="00C929F8">
        <w:rPr>
          <w:rFonts w:ascii="Arial" w:hAnsi="Arial"/>
          <w:sz w:val="22"/>
          <w:szCs w:val="22"/>
        </w:rPr>
        <w:t>a</w:t>
      </w:r>
      <w:r w:rsidR="000B63DB">
        <w:rPr>
          <w:rFonts w:ascii="Arial" w:hAnsi="Arial"/>
          <w:sz w:val="22"/>
          <w:szCs w:val="22"/>
        </w:rPr>
        <w:t>,</w:t>
      </w:r>
      <w:r>
        <w:rPr>
          <w:rFonts w:ascii="Arial" w:hAnsi="Arial"/>
          <w:sz w:val="22"/>
          <w:szCs w:val="22"/>
        </w:rPr>
        <w:t xml:space="preserve"> </w:t>
      </w:r>
      <w:r w:rsidR="003402B4">
        <w:rPr>
          <w:rFonts w:ascii="Arial" w:hAnsi="Arial"/>
          <w:sz w:val="22"/>
          <w:szCs w:val="22"/>
        </w:rPr>
        <w:t>anche in questo caso</w:t>
      </w:r>
      <w:r w:rsidR="000B63DB">
        <w:rPr>
          <w:rFonts w:ascii="Arial" w:hAnsi="Arial"/>
          <w:sz w:val="22"/>
          <w:szCs w:val="22"/>
        </w:rPr>
        <w:t>,</w:t>
      </w:r>
      <w:r w:rsidR="003402B4">
        <w:rPr>
          <w:rFonts w:ascii="Arial" w:hAnsi="Arial"/>
          <w:sz w:val="22"/>
          <w:szCs w:val="22"/>
        </w:rPr>
        <w:t xml:space="preserve"> </w:t>
      </w:r>
      <w:r>
        <w:rPr>
          <w:rFonts w:ascii="Arial" w:hAnsi="Arial"/>
          <w:sz w:val="22"/>
          <w:szCs w:val="22"/>
        </w:rPr>
        <w:t xml:space="preserve">l’aumento </w:t>
      </w:r>
      <w:r w:rsidR="000B63DB">
        <w:rPr>
          <w:rFonts w:ascii="Arial" w:hAnsi="Arial"/>
          <w:sz w:val="22"/>
          <w:szCs w:val="22"/>
        </w:rPr>
        <w:t>d</w:t>
      </w:r>
      <w:r>
        <w:rPr>
          <w:rFonts w:ascii="Arial" w:hAnsi="Arial"/>
          <w:sz w:val="22"/>
          <w:szCs w:val="22"/>
        </w:rPr>
        <w:t xml:space="preserve">el 2021 non </w:t>
      </w:r>
      <w:r w:rsidR="000B63DB">
        <w:rPr>
          <w:rFonts w:ascii="Arial" w:hAnsi="Arial"/>
          <w:sz w:val="22"/>
          <w:szCs w:val="22"/>
        </w:rPr>
        <w:t>riporta</w:t>
      </w:r>
      <w:r>
        <w:rPr>
          <w:rFonts w:ascii="Arial" w:hAnsi="Arial"/>
          <w:sz w:val="22"/>
          <w:szCs w:val="22"/>
        </w:rPr>
        <w:t xml:space="preserve"> ai livelli pre-pandemici (-8,8% rispetto a</w:t>
      </w:r>
      <w:r w:rsidR="00DF4CD6">
        <w:rPr>
          <w:rFonts w:ascii="Arial" w:hAnsi="Arial"/>
          <w:sz w:val="22"/>
          <w:szCs w:val="22"/>
        </w:rPr>
        <w:t>l</w:t>
      </w:r>
      <w:r>
        <w:rPr>
          <w:rFonts w:ascii="Arial" w:hAnsi="Arial"/>
          <w:sz w:val="22"/>
          <w:szCs w:val="22"/>
        </w:rPr>
        <w:t>l</w:t>
      </w:r>
      <w:r w:rsidR="00DF4CD6">
        <w:rPr>
          <w:rFonts w:ascii="Arial" w:hAnsi="Arial"/>
          <w:sz w:val="22"/>
          <w:szCs w:val="22"/>
        </w:rPr>
        <w:t>o stesso periodo del</w:t>
      </w:r>
      <w:r>
        <w:rPr>
          <w:rFonts w:ascii="Arial" w:hAnsi="Arial"/>
          <w:sz w:val="22"/>
          <w:szCs w:val="22"/>
        </w:rPr>
        <w:t xml:space="preserve"> 2019). </w:t>
      </w:r>
    </w:p>
    <w:p w14:paraId="2AB4CCCD" w14:textId="123BA7C1" w:rsidR="00C929F8" w:rsidRDefault="00C929F8">
      <w:pPr>
        <w:pStyle w:val="RAtesto"/>
        <w:spacing w:line="240" w:lineRule="auto"/>
        <w:rPr>
          <w:rFonts w:ascii="Arial" w:hAnsi="Arial"/>
          <w:sz w:val="22"/>
          <w:szCs w:val="22"/>
        </w:rPr>
      </w:pPr>
    </w:p>
    <w:p w14:paraId="159F425A" w14:textId="77777777" w:rsidR="00C929F8" w:rsidRPr="006C4834" w:rsidRDefault="00C929F8" w:rsidP="006C4834">
      <w:pPr>
        <w:pStyle w:val="RAtesto"/>
        <w:spacing w:line="240" w:lineRule="auto"/>
        <w:rPr>
          <w:rFonts w:ascii="Arial" w:hAnsi="Arial"/>
          <w:sz w:val="28"/>
          <w:szCs w:val="28"/>
        </w:rPr>
      </w:pPr>
    </w:p>
    <w:p w14:paraId="092629D3" w14:textId="56A28C42" w:rsidR="00F44339" w:rsidRDefault="00F44339" w:rsidP="00E5781A">
      <w:pPr>
        <w:autoSpaceDE w:val="0"/>
        <w:autoSpaceDN w:val="0"/>
        <w:adjustRightInd w:val="0"/>
        <w:rPr>
          <w:rFonts w:ascii="Arial Narrow" w:hAnsi="Arial Narrow" w:cs="Arial"/>
          <w:color w:val="1F497D" w:themeColor="text2"/>
          <w:sz w:val="22"/>
          <w:szCs w:val="22"/>
        </w:rPr>
      </w:pPr>
      <w:r w:rsidRPr="007D109C">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5</w:t>
      </w:r>
      <w:r w:rsidRPr="007D109C">
        <w:rPr>
          <w:rFonts w:ascii="Arial Black" w:hAnsi="Arial Black" w:cs="Arial"/>
          <w:iCs/>
          <w:noProof/>
          <w:color w:val="1F497D" w:themeColor="text2"/>
          <w:sz w:val="22"/>
          <w:szCs w:val="22"/>
        </w:rPr>
        <w:t>.</w:t>
      </w:r>
      <w:r w:rsidRPr="007D109C">
        <w:rPr>
          <w:rFonts w:ascii="Arial Narrow" w:hAnsi="Arial Narrow" w:cs="Arial"/>
          <w:b/>
          <w:iCs/>
          <w:noProof/>
          <w:color w:val="1F497D" w:themeColor="text2"/>
          <w:sz w:val="22"/>
          <w:szCs w:val="22"/>
        </w:rPr>
        <w:t xml:space="preserve"> </w:t>
      </w:r>
      <w:r w:rsidR="00E5781A">
        <w:rPr>
          <w:rFonts w:ascii="Arial Narrow" w:hAnsi="Arial Narrow" w:cs="Arial"/>
          <w:b/>
          <w:iCs/>
          <w:noProof/>
          <w:color w:val="1F497D" w:themeColor="text2"/>
          <w:sz w:val="22"/>
          <w:szCs w:val="22"/>
        </w:rPr>
        <w:t>MATRIMONI PER TIPOLOGIA E RITO</w:t>
      </w:r>
      <w:r w:rsidR="00A972EB">
        <w:rPr>
          <w:rFonts w:ascii="Arial Narrow" w:hAnsi="Arial Narrow" w:cs="Arial"/>
          <w:b/>
          <w:iCs/>
          <w:noProof/>
          <w:color w:val="1F497D" w:themeColor="text2"/>
          <w:sz w:val="22"/>
          <w:szCs w:val="22"/>
        </w:rPr>
        <w:t xml:space="preserve"> E UNIONI CIVILI</w:t>
      </w:r>
      <w:r>
        <w:rPr>
          <w:rFonts w:ascii="Arial Narrow" w:hAnsi="Arial Narrow" w:cs="Arial"/>
          <w:b/>
          <w:iCs/>
          <w:noProof/>
          <w:color w:val="1F497D" w:themeColor="text2"/>
          <w:sz w:val="22"/>
          <w:szCs w:val="22"/>
        </w:rPr>
        <w:t xml:space="preserve">. </w:t>
      </w:r>
      <w:r>
        <w:rPr>
          <w:rFonts w:ascii="Arial Narrow" w:hAnsi="Arial Narrow" w:cs="Arial"/>
          <w:color w:val="1F497D" w:themeColor="text2"/>
          <w:sz w:val="22"/>
          <w:szCs w:val="22"/>
        </w:rPr>
        <w:t xml:space="preserve">Primi </w:t>
      </w:r>
      <w:r w:rsidR="00A972EB">
        <w:rPr>
          <w:rFonts w:ascii="Arial Narrow" w:hAnsi="Arial Narrow" w:cs="Arial"/>
          <w:color w:val="1F497D" w:themeColor="text2"/>
          <w:sz w:val="22"/>
          <w:szCs w:val="22"/>
        </w:rPr>
        <w:t>nove</w:t>
      </w:r>
      <w:r>
        <w:rPr>
          <w:rFonts w:ascii="Arial Narrow" w:hAnsi="Arial Narrow" w:cs="Arial"/>
          <w:color w:val="1F497D" w:themeColor="text2"/>
          <w:sz w:val="22"/>
          <w:szCs w:val="22"/>
        </w:rPr>
        <w:t xml:space="preserve"> mesi degli </w:t>
      </w:r>
      <w:r w:rsidR="00E5781A">
        <w:rPr>
          <w:rFonts w:ascii="Arial Narrow" w:hAnsi="Arial Narrow" w:cs="Arial"/>
          <w:color w:val="1F497D" w:themeColor="text2"/>
          <w:sz w:val="22"/>
          <w:szCs w:val="22"/>
        </w:rPr>
        <w:t xml:space="preserve">anni </w:t>
      </w:r>
      <w:r>
        <w:rPr>
          <w:rFonts w:ascii="Arial Narrow" w:hAnsi="Arial Narrow" w:cs="Arial"/>
          <w:color w:val="1F497D" w:themeColor="text2"/>
          <w:sz w:val="22"/>
          <w:szCs w:val="22"/>
        </w:rPr>
        <w:t>2019</w:t>
      </w:r>
      <w:r w:rsidRPr="0065736C">
        <w:rPr>
          <w:rFonts w:ascii="Arial Narrow" w:hAnsi="Arial Narrow" w:cs="Arial"/>
          <w:color w:val="1F497D" w:themeColor="text2"/>
          <w:sz w:val="22"/>
          <w:szCs w:val="22"/>
        </w:rPr>
        <w:t xml:space="preserve">, </w:t>
      </w:r>
      <w:r>
        <w:rPr>
          <w:rFonts w:ascii="Arial Narrow" w:hAnsi="Arial Narrow" w:cs="Arial"/>
          <w:color w:val="1F497D" w:themeColor="text2"/>
          <w:sz w:val="22"/>
          <w:szCs w:val="22"/>
        </w:rPr>
        <w:t xml:space="preserve">2020 </w:t>
      </w:r>
      <w:r w:rsidR="00E5781A">
        <w:rPr>
          <w:rFonts w:ascii="Arial Narrow" w:hAnsi="Arial Narrow" w:cs="Arial"/>
          <w:color w:val="1F497D" w:themeColor="text2"/>
          <w:sz w:val="22"/>
          <w:szCs w:val="22"/>
        </w:rPr>
        <w:t>e</w:t>
      </w:r>
      <w:r>
        <w:rPr>
          <w:rFonts w:ascii="Arial Narrow" w:hAnsi="Arial Narrow" w:cs="Arial"/>
          <w:color w:val="1F497D" w:themeColor="text2"/>
          <w:sz w:val="22"/>
          <w:szCs w:val="22"/>
        </w:rPr>
        <w:t xml:space="preserve"> 2021</w:t>
      </w:r>
      <w:r w:rsidR="00E5781A">
        <w:rPr>
          <w:rFonts w:ascii="Arial Narrow" w:hAnsi="Arial Narrow" w:cs="Arial"/>
          <w:color w:val="1F497D" w:themeColor="text2"/>
          <w:sz w:val="22"/>
          <w:szCs w:val="22"/>
        </w:rPr>
        <w:t>, variazioni percentuali</w:t>
      </w:r>
    </w:p>
    <w:p w14:paraId="1AEE554D" w14:textId="771AFEAA" w:rsidR="0033709E" w:rsidRDefault="0033709E" w:rsidP="0089585C">
      <w:pPr>
        <w:pStyle w:val="RAtesto"/>
        <w:rPr>
          <w:rFonts w:ascii="Arial" w:hAnsi="Arial"/>
          <w:sz w:val="22"/>
          <w:szCs w:val="22"/>
        </w:rPr>
      </w:pPr>
    </w:p>
    <w:p w14:paraId="275E14AE" w14:textId="2E140A2B" w:rsidR="00EC7DDD" w:rsidRDefault="005764AF" w:rsidP="006C4834">
      <w:pPr>
        <w:pStyle w:val="RAtesto"/>
        <w:rPr>
          <w:rFonts w:ascii="Arial" w:hAnsi="Arial"/>
          <w:sz w:val="22"/>
          <w:szCs w:val="22"/>
        </w:rPr>
      </w:pPr>
      <w:r>
        <w:rPr>
          <w:rFonts w:ascii="Arial" w:hAnsi="Arial"/>
          <w:sz w:val="22"/>
          <w:szCs w:val="22"/>
        </w:rPr>
        <w:fldChar w:fldCharType="begin"/>
      </w:r>
      <w:r>
        <w:rPr>
          <w:rFonts w:ascii="Arial" w:hAnsi="Arial"/>
          <w:sz w:val="22"/>
          <w:szCs w:val="22"/>
        </w:rPr>
        <w:instrText xml:space="preserve"> LINK Excel.Sheet.12 "C:\\Users\\UTENTE\\Desktop\\Smart working\\Editing Report\\Report matrimoni unioni\\Tavole e grafici_stat repor2022_31 gennaio.xlsx!Fig. 5 Matr Unioni variaz![Tavole e grafici_stat repor2022_31 gennaio.xlsx]Fig. 5 Matr Unioni variaz Grafico 1" "" \a \p </w:instrText>
      </w:r>
      <w:r>
        <w:rPr>
          <w:rFonts w:ascii="Arial" w:hAnsi="Arial"/>
          <w:sz w:val="22"/>
          <w:szCs w:val="22"/>
        </w:rPr>
        <w:fldChar w:fldCharType="separate"/>
      </w:r>
      <w:r w:rsidR="00096AB9">
        <w:rPr>
          <w:rFonts w:ascii="Arial" w:hAnsi="Arial"/>
          <w:sz w:val="22"/>
          <w:szCs w:val="22"/>
        </w:rPr>
        <w:object w:dxaOrig="9423" w:dyaOrig="3249" w14:anchorId="52115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6pt;height:179.6pt">
            <v:imagedata r:id="rId17" o:title=""/>
          </v:shape>
        </w:object>
      </w:r>
      <w:r>
        <w:rPr>
          <w:rFonts w:ascii="Arial" w:hAnsi="Arial"/>
          <w:sz w:val="22"/>
          <w:szCs w:val="22"/>
        </w:rPr>
        <w:fldChar w:fldCharType="end"/>
      </w:r>
      <w:r w:rsidR="00EC7DDD">
        <w:rPr>
          <w:rFonts w:ascii="Arial" w:hAnsi="Arial"/>
          <w:sz w:val="22"/>
          <w:szCs w:val="22"/>
        </w:rPr>
        <w:br w:type="page"/>
      </w:r>
    </w:p>
    <w:p w14:paraId="303B5F61" w14:textId="77777777" w:rsidR="002E3C2E" w:rsidRDefault="002E3C2E" w:rsidP="006C4834">
      <w:pPr>
        <w:pStyle w:val="RAtesto"/>
        <w:spacing w:line="240" w:lineRule="auto"/>
        <w:rPr>
          <w:rFonts w:ascii="Arial" w:hAnsi="Arial"/>
          <w:sz w:val="22"/>
          <w:szCs w:val="22"/>
        </w:rPr>
      </w:pPr>
    </w:p>
    <w:p w14:paraId="682E1615" w14:textId="40351C6B" w:rsidR="006F63D2" w:rsidRDefault="00321B2D" w:rsidP="006C4834">
      <w:pPr>
        <w:pStyle w:val="RAtesto"/>
        <w:spacing w:line="240" w:lineRule="auto"/>
        <w:rPr>
          <w:rFonts w:ascii="Arial" w:hAnsi="Arial"/>
          <w:sz w:val="22"/>
          <w:szCs w:val="22"/>
        </w:rPr>
      </w:pPr>
      <w:r>
        <w:rPr>
          <w:rFonts w:ascii="Arial" w:hAnsi="Arial"/>
          <w:sz w:val="22"/>
          <w:szCs w:val="22"/>
        </w:rPr>
        <w:t xml:space="preserve">Un ritorno ai livelli del 2019 si osserva invece </w:t>
      </w:r>
      <w:r w:rsidR="000B63DB">
        <w:rPr>
          <w:rFonts w:ascii="Arial" w:hAnsi="Arial"/>
          <w:sz w:val="22"/>
          <w:szCs w:val="22"/>
        </w:rPr>
        <w:t>considerando</w:t>
      </w:r>
      <w:r w:rsidR="00FC0F02">
        <w:rPr>
          <w:rFonts w:ascii="Arial" w:hAnsi="Arial"/>
          <w:sz w:val="22"/>
          <w:szCs w:val="22"/>
        </w:rPr>
        <w:t xml:space="preserve"> i</w:t>
      </w:r>
      <w:r>
        <w:rPr>
          <w:rFonts w:ascii="Arial" w:hAnsi="Arial"/>
          <w:sz w:val="22"/>
          <w:szCs w:val="22"/>
        </w:rPr>
        <w:t xml:space="preserve"> primi matrimoni civili</w:t>
      </w:r>
      <w:r w:rsidR="00FC0F02">
        <w:rPr>
          <w:rFonts w:ascii="Arial" w:hAnsi="Arial"/>
          <w:sz w:val="22"/>
          <w:szCs w:val="22"/>
        </w:rPr>
        <w:t xml:space="preserve"> (-0,2% nel 2021 rispetto al 2019)</w:t>
      </w:r>
      <w:r>
        <w:rPr>
          <w:rFonts w:ascii="Arial" w:hAnsi="Arial"/>
          <w:sz w:val="22"/>
          <w:szCs w:val="22"/>
        </w:rPr>
        <w:t>, che sembrano dunque esser</w:t>
      </w:r>
      <w:r w:rsidR="000B63DB">
        <w:rPr>
          <w:rFonts w:ascii="Arial" w:hAnsi="Arial"/>
          <w:sz w:val="22"/>
          <w:szCs w:val="22"/>
        </w:rPr>
        <w:t>e</w:t>
      </w:r>
      <w:r>
        <w:rPr>
          <w:rFonts w:ascii="Arial" w:hAnsi="Arial"/>
          <w:sz w:val="22"/>
          <w:szCs w:val="22"/>
        </w:rPr>
        <w:t xml:space="preserve"> stati </w:t>
      </w:r>
      <w:r w:rsidR="00FC0F02">
        <w:rPr>
          <w:rFonts w:ascii="Arial" w:hAnsi="Arial"/>
          <w:sz w:val="22"/>
          <w:szCs w:val="22"/>
        </w:rPr>
        <w:t>meno penalizzati</w:t>
      </w:r>
      <w:r w:rsidR="002E3C2E">
        <w:rPr>
          <w:rFonts w:ascii="Arial" w:hAnsi="Arial"/>
          <w:sz w:val="22"/>
          <w:szCs w:val="22"/>
        </w:rPr>
        <w:t>. T</w:t>
      </w:r>
      <w:r w:rsidR="006F63D2">
        <w:rPr>
          <w:rFonts w:ascii="Arial" w:hAnsi="Arial"/>
          <w:sz w:val="22"/>
          <w:szCs w:val="22"/>
        </w:rPr>
        <w:t>ale tipologia di matrimoni</w:t>
      </w:r>
      <w:r w:rsidR="000B63DB">
        <w:rPr>
          <w:rFonts w:ascii="Arial" w:hAnsi="Arial"/>
          <w:sz w:val="22"/>
          <w:szCs w:val="22"/>
        </w:rPr>
        <w:t>o,</w:t>
      </w:r>
      <w:r w:rsidR="006F63D2">
        <w:rPr>
          <w:rFonts w:ascii="Arial" w:hAnsi="Arial"/>
          <w:sz w:val="22"/>
          <w:szCs w:val="22"/>
        </w:rPr>
        <w:t xml:space="preserve"> pur </w:t>
      </w:r>
      <w:r w:rsidR="000B63DB">
        <w:rPr>
          <w:rFonts w:ascii="Arial" w:hAnsi="Arial"/>
          <w:sz w:val="22"/>
          <w:szCs w:val="22"/>
        </w:rPr>
        <w:t>avendo subito un calo</w:t>
      </w:r>
      <w:r w:rsidR="006F63D2">
        <w:rPr>
          <w:rFonts w:ascii="Arial" w:hAnsi="Arial"/>
          <w:sz w:val="22"/>
          <w:szCs w:val="22"/>
        </w:rPr>
        <w:t xml:space="preserve"> </w:t>
      </w:r>
      <w:r w:rsidR="000B63DB">
        <w:rPr>
          <w:rFonts w:ascii="Arial" w:hAnsi="Arial"/>
          <w:sz w:val="22"/>
          <w:szCs w:val="22"/>
        </w:rPr>
        <w:t xml:space="preserve">consistente </w:t>
      </w:r>
      <w:r w:rsidR="006F63D2">
        <w:rPr>
          <w:rFonts w:ascii="Arial" w:hAnsi="Arial"/>
          <w:sz w:val="22"/>
          <w:szCs w:val="22"/>
        </w:rPr>
        <w:t xml:space="preserve">nei primi nove mesi del 2020, aveva già mostrato </w:t>
      </w:r>
      <w:r w:rsidR="00FC0F02">
        <w:rPr>
          <w:rFonts w:ascii="Arial" w:hAnsi="Arial"/>
          <w:sz w:val="22"/>
          <w:szCs w:val="22"/>
        </w:rPr>
        <w:t xml:space="preserve">in piena pandemia </w:t>
      </w:r>
      <w:r w:rsidR="006F63D2">
        <w:rPr>
          <w:rFonts w:ascii="Arial" w:hAnsi="Arial"/>
          <w:sz w:val="22"/>
          <w:szCs w:val="22"/>
        </w:rPr>
        <w:t>una variazione negativa più contenuta rispetto ai primi matrimoni religiosi.</w:t>
      </w:r>
    </w:p>
    <w:p w14:paraId="191827C2" w14:textId="7250A787" w:rsidR="00485ED1" w:rsidRDefault="00485ED1" w:rsidP="006C4834">
      <w:pPr>
        <w:pStyle w:val="RAtesto"/>
        <w:spacing w:line="240" w:lineRule="auto"/>
        <w:rPr>
          <w:rFonts w:ascii="Arial" w:hAnsi="Arial"/>
          <w:sz w:val="22"/>
          <w:szCs w:val="22"/>
        </w:rPr>
      </w:pPr>
      <w:r>
        <w:rPr>
          <w:rFonts w:ascii="Arial" w:hAnsi="Arial"/>
          <w:sz w:val="22"/>
          <w:szCs w:val="22"/>
        </w:rPr>
        <w:t>Anche i secondi matrimoni riescono a sfiorare i livelli del 2019 (-0,8%)</w:t>
      </w:r>
      <w:r w:rsidR="00F11A6F">
        <w:rPr>
          <w:rFonts w:ascii="Arial" w:hAnsi="Arial"/>
          <w:sz w:val="22"/>
          <w:szCs w:val="22"/>
        </w:rPr>
        <w:t xml:space="preserve"> ma</w:t>
      </w:r>
      <w:r>
        <w:rPr>
          <w:rFonts w:ascii="Arial" w:hAnsi="Arial"/>
          <w:sz w:val="22"/>
          <w:szCs w:val="22"/>
        </w:rPr>
        <w:t xml:space="preserve"> </w:t>
      </w:r>
      <w:r w:rsidR="0083603A">
        <w:rPr>
          <w:rFonts w:ascii="Arial" w:hAnsi="Arial"/>
          <w:sz w:val="22"/>
          <w:szCs w:val="22"/>
        </w:rPr>
        <w:t xml:space="preserve">non si </w:t>
      </w:r>
      <w:r w:rsidR="00C054EF">
        <w:rPr>
          <w:rFonts w:ascii="Arial" w:hAnsi="Arial"/>
          <w:sz w:val="22"/>
          <w:szCs w:val="22"/>
        </w:rPr>
        <w:t xml:space="preserve">può parlare di </w:t>
      </w:r>
      <w:r w:rsidR="00216A11">
        <w:rPr>
          <w:rFonts w:ascii="Arial" w:hAnsi="Arial"/>
          <w:sz w:val="22"/>
          <w:szCs w:val="22"/>
        </w:rPr>
        <w:t xml:space="preserve">un </w:t>
      </w:r>
      <w:r w:rsidR="0083603A">
        <w:rPr>
          <w:rFonts w:ascii="Arial" w:hAnsi="Arial"/>
          <w:sz w:val="22"/>
          <w:szCs w:val="22"/>
        </w:rPr>
        <w:t>recupero</w:t>
      </w:r>
      <w:r w:rsidR="000B63DB">
        <w:rPr>
          <w:rFonts w:ascii="Arial" w:hAnsi="Arial"/>
          <w:sz w:val="22"/>
          <w:szCs w:val="22"/>
        </w:rPr>
        <w:t>.</w:t>
      </w:r>
      <w:r w:rsidR="00C054EF">
        <w:rPr>
          <w:rFonts w:ascii="Arial" w:hAnsi="Arial"/>
          <w:sz w:val="22"/>
          <w:szCs w:val="22"/>
        </w:rPr>
        <w:t xml:space="preserve"> </w:t>
      </w:r>
      <w:r w:rsidR="000B63DB">
        <w:rPr>
          <w:rFonts w:ascii="Arial" w:hAnsi="Arial"/>
          <w:sz w:val="22"/>
          <w:szCs w:val="22"/>
        </w:rPr>
        <w:t>Il</w:t>
      </w:r>
      <w:r w:rsidR="0083603A">
        <w:rPr>
          <w:rFonts w:ascii="Arial" w:hAnsi="Arial"/>
          <w:sz w:val="22"/>
          <w:szCs w:val="22"/>
        </w:rPr>
        <w:t xml:space="preserve"> numero di matrimoni registrato nel 2021 </w:t>
      </w:r>
      <w:r w:rsidR="00216A11">
        <w:rPr>
          <w:rFonts w:ascii="Arial" w:hAnsi="Arial"/>
          <w:sz w:val="22"/>
          <w:szCs w:val="22"/>
        </w:rPr>
        <w:t xml:space="preserve">si mantiene </w:t>
      </w:r>
      <w:r w:rsidR="000B63DB">
        <w:rPr>
          <w:rFonts w:ascii="Arial" w:hAnsi="Arial"/>
          <w:sz w:val="22"/>
          <w:szCs w:val="22"/>
        </w:rPr>
        <w:t xml:space="preserve">infatti </w:t>
      </w:r>
      <w:r w:rsidR="00216A11">
        <w:rPr>
          <w:rFonts w:ascii="Arial" w:hAnsi="Arial"/>
          <w:sz w:val="22"/>
          <w:szCs w:val="22"/>
        </w:rPr>
        <w:t>al di sotto di quello che si potrebbe attendere in considerazione dell</w:t>
      </w:r>
      <w:r w:rsidR="00C054EF">
        <w:rPr>
          <w:rFonts w:ascii="Arial" w:hAnsi="Arial"/>
          <w:sz w:val="22"/>
          <w:szCs w:val="22"/>
        </w:rPr>
        <w:t xml:space="preserve">a </w:t>
      </w:r>
      <w:r w:rsidR="00F7121C">
        <w:rPr>
          <w:rFonts w:ascii="Arial" w:hAnsi="Arial"/>
          <w:sz w:val="22"/>
          <w:szCs w:val="22"/>
        </w:rPr>
        <w:t xml:space="preserve">loro </w:t>
      </w:r>
      <w:r w:rsidR="00C054EF">
        <w:rPr>
          <w:rFonts w:ascii="Arial" w:hAnsi="Arial"/>
          <w:sz w:val="22"/>
          <w:szCs w:val="22"/>
        </w:rPr>
        <w:t>tendenza all’aumento</w:t>
      </w:r>
      <w:r>
        <w:rPr>
          <w:rFonts w:ascii="Arial" w:hAnsi="Arial"/>
          <w:sz w:val="22"/>
          <w:szCs w:val="22"/>
        </w:rPr>
        <w:t>.</w:t>
      </w:r>
    </w:p>
    <w:p w14:paraId="4CD4F2A4" w14:textId="0BDCABB1" w:rsidR="0051243E" w:rsidRDefault="00EA008A" w:rsidP="00F44B23">
      <w:pPr>
        <w:pStyle w:val="RAtesto"/>
        <w:spacing w:line="240" w:lineRule="auto"/>
        <w:rPr>
          <w:rFonts w:ascii="Arial" w:hAnsi="Arial"/>
          <w:sz w:val="22"/>
          <w:szCs w:val="22"/>
        </w:rPr>
      </w:pPr>
      <w:r>
        <w:rPr>
          <w:rFonts w:ascii="Arial" w:hAnsi="Arial"/>
          <w:sz w:val="22"/>
          <w:szCs w:val="22"/>
        </w:rPr>
        <w:t xml:space="preserve">Considerando la tipologia di coppia, i primi </w:t>
      </w:r>
      <w:r w:rsidR="009670D5">
        <w:rPr>
          <w:rFonts w:ascii="Arial" w:hAnsi="Arial"/>
          <w:sz w:val="22"/>
          <w:szCs w:val="22"/>
        </w:rPr>
        <w:t>nove</w:t>
      </w:r>
      <w:r>
        <w:rPr>
          <w:rFonts w:ascii="Arial" w:hAnsi="Arial"/>
          <w:sz w:val="22"/>
          <w:szCs w:val="22"/>
        </w:rPr>
        <w:t xml:space="preserve"> mesi del 2021 confermano che le </w:t>
      </w:r>
      <w:r w:rsidR="000B63DB">
        <w:rPr>
          <w:rFonts w:ascii="Arial" w:hAnsi="Arial"/>
          <w:sz w:val="22"/>
          <w:szCs w:val="22"/>
        </w:rPr>
        <w:t xml:space="preserve">coppie </w:t>
      </w:r>
      <w:r>
        <w:rPr>
          <w:rFonts w:ascii="Arial" w:hAnsi="Arial"/>
          <w:sz w:val="22"/>
          <w:szCs w:val="22"/>
        </w:rPr>
        <w:t xml:space="preserve">più penalizzate dalla pandemia sono </w:t>
      </w:r>
      <w:r w:rsidR="000B63DB">
        <w:rPr>
          <w:rFonts w:ascii="Arial" w:hAnsi="Arial"/>
          <w:sz w:val="22"/>
          <w:szCs w:val="22"/>
        </w:rPr>
        <w:t>quelle</w:t>
      </w:r>
      <w:r>
        <w:rPr>
          <w:rFonts w:ascii="Arial" w:hAnsi="Arial"/>
          <w:sz w:val="22"/>
          <w:szCs w:val="22"/>
        </w:rPr>
        <w:t xml:space="preserve"> di sposi entrambi stranieri</w:t>
      </w:r>
      <w:r w:rsidR="000B63DB">
        <w:rPr>
          <w:rFonts w:ascii="Arial" w:hAnsi="Arial"/>
          <w:sz w:val="22"/>
          <w:szCs w:val="22"/>
        </w:rPr>
        <w:t>: ammontano a</w:t>
      </w:r>
      <w:r>
        <w:rPr>
          <w:rFonts w:ascii="Arial" w:hAnsi="Arial"/>
          <w:sz w:val="22"/>
          <w:szCs w:val="22"/>
        </w:rPr>
        <w:t xml:space="preserve"> poco più della metà rispetto al 2019. Anche le coppie miste restano di gran lunga sotto i livelli pre-pandem</w:t>
      </w:r>
      <w:r w:rsidR="009670D5">
        <w:rPr>
          <w:rFonts w:ascii="Arial" w:hAnsi="Arial"/>
          <w:sz w:val="22"/>
          <w:szCs w:val="22"/>
        </w:rPr>
        <w:t>ici, seppur con incidenza minore</w:t>
      </w:r>
      <w:r w:rsidR="000B63DB">
        <w:rPr>
          <w:rFonts w:ascii="Arial" w:hAnsi="Arial"/>
          <w:sz w:val="22"/>
          <w:szCs w:val="22"/>
        </w:rPr>
        <w:t>, mentre</w:t>
      </w:r>
      <w:r w:rsidR="00C43250">
        <w:rPr>
          <w:rFonts w:ascii="Arial" w:hAnsi="Arial"/>
          <w:sz w:val="22"/>
          <w:szCs w:val="22"/>
        </w:rPr>
        <w:t xml:space="preserve"> </w:t>
      </w:r>
      <w:r w:rsidR="000B63DB">
        <w:rPr>
          <w:rFonts w:ascii="Arial" w:hAnsi="Arial"/>
          <w:sz w:val="22"/>
          <w:szCs w:val="22"/>
        </w:rPr>
        <w:t xml:space="preserve">i matrimoni di sposi entrambi italiani </w:t>
      </w:r>
      <w:r w:rsidR="0051243E">
        <w:rPr>
          <w:rFonts w:ascii="Arial" w:hAnsi="Arial"/>
          <w:sz w:val="22"/>
          <w:szCs w:val="22"/>
        </w:rPr>
        <w:t xml:space="preserve">mostrano un lievissimo aumento rispetto allo stesso periodo </w:t>
      </w:r>
      <w:r w:rsidR="006F63D2">
        <w:rPr>
          <w:rFonts w:ascii="Arial" w:hAnsi="Arial"/>
          <w:sz w:val="22"/>
          <w:szCs w:val="22"/>
        </w:rPr>
        <w:t>anteriore al</w:t>
      </w:r>
      <w:r w:rsidR="0051243E">
        <w:rPr>
          <w:rFonts w:ascii="Arial" w:hAnsi="Arial"/>
          <w:sz w:val="22"/>
          <w:szCs w:val="22"/>
        </w:rPr>
        <w:t>l’epidemia da Covid-19 (+0,8%).</w:t>
      </w:r>
    </w:p>
    <w:p w14:paraId="206D61E9" w14:textId="02A50DAE" w:rsidR="0051243E" w:rsidRDefault="0051243E">
      <w:pPr>
        <w:pStyle w:val="RAtesto"/>
        <w:spacing w:line="240" w:lineRule="auto"/>
        <w:rPr>
          <w:rFonts w:ascii="Arial" w:hAnsi="Arial"/>
          <w:sz w:val="22"/>
          <w:szCs w:val="22"/>
        </w:rPr>
      </w:pPr>
      <w:r w:rsidRPr="00AA0FD7">
        <w:rPr>
          <w:rFonts w:ascii="Arial" w:hAnsi="Arial"/>
          <w:sz w:val="22"/>
          <w:szCs w:val="22"/>
        </w:rPr>
        <w:t xml:space="preserve">Le unioni civili, </w:t>
      </w:r>
      <w:r w:rsidR="00162A21" w:rsidRPr="00AA0FD7">
        <w:rPr>
          <w:rFonts w:ascii="Arial" w:hAnsi="Arial"/>
          <w:sz w:val="22"/>
          <w:szCs w:val="22"/>
        </w:rPr>
        <w:t xml:space="preserve">ridotte di un terzo nel 2020, </w:t>
      </w:r>
      <w:r w:rsidRPr="00AA0FD7">
        <w:rPr>
          <w:rFonts w:ascii="Arial" w:hAnsi="Arial"/>
          <w:sz w:val="22"/>
          <w:szCs w:val="22"/>
        </w:rPr>
        <w:t xml:space="preserve">hanno </w:t>
      </w:r>
      <w:r w:rsidR="00306CA0" w:rsidRPr="00AA0FD7">
        <w:rPr>
          <w:rFonts w:ascii="Arial" w:hAnsi="Arial"/>
          <w:sz w:val="22"/>
          <w:szCs w:val="22"/>
        </w:rPr>
        <w:t>registrato</w:t>
      </w:r>
      <w:r w:rsidR="00162A21" w:rsidRPr="00AA0FD7">
        <w:rPr>
          <w:rFonts w:ascii="Arial" w:hAnsi="Arial"/>
          <w:sz w:val="22"/>
          <w:szCs w:val="22"/>
        </w:rPr>
        <w:t xml:space="preserve"> un aumento</w:t>
      </w:r>
      <w:r w:rsidR="00306CA0" w:rsidRPr="00AA0FD7">
        <w:rPr>
          <w:rFonts w:ascii="Arial" w:hAnsi="Arial"/>
          <w:sz w:val="22"/>
          <w:szCs w:val="22"/>
        </w:rPr>
        <w:t xml:space="preserve"> </w:t>
      </w:r>
      <w:r w:rsidR="00AA0FD7" w:rsidRPr="00AA0FD7">
        <w:rPr>
          <w:rFonts w:ascii="Arial" w:hAnsi="Arial"/>
          <w:sz w:val="22"/>
          <w:szCs w:val="22"/>
        </w:rPr>
        <w:t>di oltre il 50% nei primi nove mesi del 2021</w:t>
      </w:r>
      <w:r w:rsidR="005B7C9A" w:rsidRPr="00AA0FD7">
        <w:rPr>
          <w:rFonts w:ascii="Arial" w:hAnsi="Arial"/>
          <w:sz w:val="22"/>
          <w:szCs w:val="22"/>
        </w:rPr>
        <w:t xml:space="preserve">. </w:t>
      </w:r>
      <w:r w:rsidR="00F7121C">
        <w:rPr>
          <w:rFonts w:ascii="Arial" w:hAnsi="Arial"/>
          <w:sz w:val="22"/>
          <w:szCs w:val="22"/>
        </w:rPr>
        <w:t>E</w:t>
      </w:r>
      <w:r w:rsidR="005B7C9A" w:rsidRPr="00AA0FD7">
        <w:rPr>
          <w:rFonts w:ascii="Arial" w:hAnsi="Arial"/>
          <w:sz w:val="22"/>
          <w:szCs w:val="22"/>
        </w:rPr>
        <w:t>ssendo</w:t>
      </w:r>
      <w:r w:rsidR="000B63DB">
        <w:rPr>
          <w:rFonts w:ascii="Arial" w:hAnsi="Arial"/>
          <w:sz w:val="22"/>
          <w:szCs w:val="22"/>
        </w:rPr>
        <w:t xml:space="preserve"> state</w:t>
      </w:r>
      <w:r w:rsidR="005B7C9A" w:rsidRPr="00AA0FD7">
        <w:rPr>
          <w:rFonts w:ascii="Arial" w:hAnsi="Arial"/>
          <w:sz w:val="22"/>
          <w:szCs w:val="22"/>
        </w:rPr>
        <w:t xml:space="preserve"> introdotte da pochi anni, </w:t>
      </w:r>
      <w:r w:rsidR="00AA0FD7">
        <w:rPr>
          <w:rFonts w:ascii="Arial" w:hAnsi="Arial"/>
          <w:sz w:val="22"/>
          <w:szCs w:val="22"/>
        </w:rPr>
        <w:t xml:space="preserve">nel periodo pre-pandemico </w:t>
      </w:r>
      <w:r w:rsidR="005B7C9A" w:rsidRPr="00AA0FD7">
        <w:rPr>
          <w:rFonts w:ascii="Arial" w:hAnsi="Arial"/>
          <w:sz w:val="22"/>
          <w:szCs w:val="22"/>
        </w:rPr>
        <w:t>stavano scontan</w:t>
      </w:r>
      <w:r w:rsidR="009670D5" w:rsidRPr="00AA0FD7">
        <w:rPr>
          <w:rFonts w:ascii="Arial" w:hAnsi="Arial"/>
          <w:sz w:val="22"/>
          <w:szCs w:val="22"/>
        </w:rPr>
        <w:t xml:space="preserve">do l’effetto di assestamento </w:t>
      </w:r>
      <w:r w:rsidR="005B7C9A" w:rsidRPr="00AA0FD7">
        <w:rPr>
          <w:rFonts w:ascii="Arial" w:hAnsi="Arial"/>
          <w:sz w:val="22"/>
          <w:szCs w:val="22"/>
        </w:rPr>
        <w:t>seguito al boom iniziale del 201</w:t>
      </w:r>
      <w:r w:rsidR="009670D5" w:rsidRPr="00AA0FD7">
        <w:rPr>
          <w:rFonts w:ascii="Arial" w:hAnsi="Arial"/>
          <w:sz w:val="22"/>
          <w:szCs w:val="22"/>
        </w:rPr>
        <w:t>6-201</w:t>
      </w:r>
      <w:r w:rsidR="005B7C9A" w:rsidRPr="00AA0FD7">
        <w:rPr>
          <w:rFonts w:ascii="Arial" w:hAnsi="Arial"/>
          <w:sz w:val="22"/>
          <w:szCs w:val="22"/>
        </w:rPr>
        <w:t>7</w:t>
      </w:r>
      <w:r w:rsidR="00AA0FD7" w:rsidRPr="00AA0FD7">
        <w:rPr>
          <w:rFonts w:ascii="Arial" w:hAnsi="Arial"/>
          <w:sz w:val="22"/>
          <w:szCs w:val="22"/>
        </w:rPr>
        <w:t xml:space="preserve">: tra </w:t>
      </w:r>
      <w:r w:rsidR="00F7121C">
        <w:rPr>
          <w:rFonts w:ascii="Arial" w:hAnsi="Arial"/>
          <w:sz w:val="22"/>
          <w:szCs w:val="22"/>
        </w:rPr>
        <w:t xml:space="preserve">il </w:t>
      </w:r>
      <w:r w:rsidR="00AA0FD7" w:rsidRPr="00AA0FD7">
        <w:rPr>
          <w:rFonts w:ascii="Arial" w:hAnsi="Arial"/>
          <w:sz w:val="22"/>
          <w:szCs w:val="22"/>
        </w:rPr>
        <w:t xml:space="preserve">2018 e 2019 si era </w:t>
      </w:r>
      <w:r w:rsidR="00F7121C">
        <w:rPr>
          <w:rFonts w:ascii="Arial" w:hAnsi="Arial"/>
          <w:sz w:val="22"/>
          <w:szCs w:val="22"/>
        </w:rPr>
        <w:t xml:space="preserve">infatti </w:t>
      </w:r>
      <w:r w:rsidR="00AA0FD7" w:rsidRPr="00AA0FD7">
        <w:rPr>
          <w:rFonts w:ascii="Arial" w:hAnsi="Arial"/>
          <w:sz w:val="22"/>
          <w:szCs w:val="22"/>
        </w:rPr>
        <w:t>registrato un calo del 18,2%</w:t>
      </w:r>
      <w:r w:rsidR="0098613D" w:rsidRPr="00AA0FD7">
        <w:rPr>
          <w:rFonts w:ascii="Arial" w:hAnsi="Arial"/>
          <w:sz w:val="22"/>
          <w:szCs w:val="22"/>
        </w:rPr>
        <w:t>.</w:t>
      </w:r>
      <w:r w:rsidR="00162A21" w:rsidRPr="00AA0FD7">
        <w:rPr>
          <w:rFonts w:ascii="Arial" w:hAnsi="Arial"/>
          <w:sz w:val="22"/>
          <w:szCs w:val="22"/>
        </w:rPr>
        <w:t xml:space="preserve"> </w:t>
      </w:r>
      <w:r w:rsidR="00F7121C">
        <w:rPr>
          <w:rFonts w:ascii="Arial" w:hAnsi="Arial"/>
          <w:sz w:val="22"/>
          <w:szCs w:val="22"/>
        </w:rPr>
        <w:t>L</w:t>
      </w:r>
      <w:r w:rsidR="00162A21" w:rsidRPr="00AA0FD7">
        <w:rPr>
          <w:rFonts w:ascii="Arial" w:hAnsi="Arial"/>
          <w:sz w:val="22"/>
          <w:szCs w:val="22"/>
        </w:rPr>
        <w:t xml:space="preserve">a diminuzione </w:t>
      </w:r>
      <w:r w:rsidR="000B63DB">
        <w:rPr>
          <w:rFonts w:ascii="Arial" w:hAnsi="Arial"/>
          <w:sz w:val="22"/>
          <w:szCs w:val="22"/>
        </w:rPr>
        <w:t>relativamente contenuta (-</w:t>
      </w:r>
      <w:r w:rsidR="00162A21" w:rsidRPr="00AA0FD7">
        <w:rPr>
          <w:rFonts w:ascii="Arial" w:hAnsi="Arial"/>
          <w:sz w:val="22"/>
          <w:szCs w:val="22"/>
        </w:rPr>
        <w:t>6,5%</w:t>
      </w:r>
      <w:r w:rsidR="000B63DB">
        <w:rPr>
          <w:rFonts w:ascii="Arial" w:hAnsi="Arial"/>
          <w:sz w:val="22"/>
          <w:szCs w:val="22"/>
        </w:rPr>
        <w:t>)</w:t>
      </w:r>
      <w:r w:rsidR="00162A21" w:rsidRPr="00AA0FD7">
        <w:rPr>
          <w:rFonts w:ascii="Arial" w:hAnsi="Arial"/>
          <w:sz w:val="22"/>
          <w:szCs w:val="22"/>
        </w:rPr>
        <w:t xml:space="preserve"> </w:t>
      </w:r>
      <w:r w:rsidR="000B63DB">
        <w:rPr>
          <w:rFonts w:ascii="Arial" w:hAnsi="Arial"/>
          <w:sz w:val="22"/>
          <w:szCs w:val="22"/>
        </w:rPr>
        <w:t xml:space="preserve">registrata tra </w:t>
      </w:r>
      <w:r w:rsidR="00162A21" w:rsidRPr="00AA0FD7">
        <w:rPr>
          <w:rFonts w:ascii="Arial" w:hAnsi="Arial"/>
          <w:sz w:val="22"/>
          <w:szCs w:val="22"/>
        </w:rPr>
        <w:t xml:space="preserve">2021 </w:t>
      </w:r>
      <w:r w:rsidR="000B63DB">
        <w:rPr>
          <w:rFonts w:ascii="Arial" w:hAnsi="Arial"/>
          <w:sz w:val="22"/>
          <w:szCs w:val="22"/>
        </w:rPr>
        <w:t>e</w:t>
      </w:r>
      <w:r w:rsidR="00162A21" w:rsidRPr="00AA0FD7">
        <w:rPr>
          <w:rFonts w:ascii="Arial" w:hAnsi="Arial"/>
          <w:sz w:val="22"/>
          <w:szCs w:val="22"/>
        </w:rPr>
        <w:t xml:space="preserve"> 2019 </w:t>
      </w:r>
      <w:r w:rsidR="000B63DB">
        <w:rPr>
          <w:rFonts w:ascii="Arial" w:hAnsi="Arial"/>
          <w:sz w:val="22"/>
          <w:szCs w:val="22"/>
        </w:rPr>
        <w:t>lascia supporre</w:t>
      </w:r>
      <w:r w:rsidR="0098613D" w:rsidRPr="00AA0FD7">
        <w:rPr>
          <w:rFonts w:ascii="Arial" w:hAnsi="Arial"/>
          <w:sz w:val="22"/>
          <w:szCs w:val="22"/>
        </w:rPr>
        <w:t xml:space="preserve"> un recupero </w:t>
      </w:r>
      <w:r w:rsidR="00F7121C">
        <w:rPr>
          <w:rFonts w:ascii="Arial" w:hAnsi="Arial"/>
          <w:sz w:val="22"/>
          <w:szCs w:val="22"/>
        </w:rPr>
        <w:t>rispetto</w:t>
      </w:r>
      <w:r w:rsidR="0098613D" w:rsidRPr="00AA0FD7">
        <w:rPr>
          <w:rFonts w:ascii="Arial" w:hAnsi="Arial"/>
          <w:sz w:val="22"/>
          <w:szCs w:val="22"/>
        </w:rPr>
        <w:t xml:space="preserve"> al periodo </w:t>
      </w:r>
      <w:r w:rsidR="00F7121C">
        <w:rPr>
          <w:rFonts w:ascii="Arial" w:hAnsi="Arial"/>
          <w:sz w:val="22"/>
          <w:szCs w:val="22"/>
        </w:rPr>
        <w:t>de</w:t>
      </w:r>
      <w:r w:rsidR="00FA36AC" w:rsidRPr="00AA0FD7">
        <w:rPr>
          <w:rFonts w:ascii="Arial" w:hAnsi="Arial"/>
          <w:sz w:val="22"/>
          <w:szCs w:val="22"/>
        </w:rPr>
        <w:t xml:space="preserve">l </w:t>
      </w:r>
      <w:r w:rsidR="00FA36AC" w:rsidRPr="008B6508">
        <w:rPr>
          <w:rFonts w:ascii="Arial" w:hAnsi="Arial"/>
          <w:i/>
          <w:iCs/>
          <w:sz w:val="22"/>
          <w:szCs w:val="22"/>
        </w:rPr>
        <w:t>lockdown</w:t>
      </w:r>
      <w:r w:rsidR="00FA36AC" w:rsidRPr="00AA0FD7">
        <w:rPr>
          <w:rFonts w:ascii="Arial" w:hAnsi="Arial"/>
          <w:sz w:val="22"/>
          <w:szCs w:val="22"/>
        </w:rPr>
        <w:t>.</w:t>
      </w:r>
      <w:r w:rsidR="00DA5682" w:rsidRPr="00AA0FD7">
        <w:rPr>
          <w:rFonts w:ascii="Arial" w:hAnsi="Arial"/>
          <w:sz w:val="22"/>
          <w:szCs w:val="22"/>
        </w:rPr>
        <w:t xml:space="preserve">  </w:t>
      </w:r>
    </w:p>
    <w:p w14:paraId="56212F80" w14:textId="5F907094" w:rsidR="00C939B3" w:rsidRDefault="00C939B3">
      <w:pPr>
        <w:pStyle w:val="RAtesto"/>
        <w:spacing w:line="240" w:lineRule="auto"/>
        <w:rPr>
          <w:rFonts w:ascii="Arial" w:hAnsi="Arial"/>
          <w:sz w:val="22"/>
          <w:szCs w:val="22"/>
        </w:rPr>
      </w:pPr>
    </w:p>
    <w:p w14:paraId="433BB92E" w14:textId="2ACAA1E5" w:rsidR="00C939B3" w:rsidRPr="008B6508" w:rsidRDefault="00C939B3" w:rsidP="008B6508">
      <w:pPr>
        <w:spacing w:after="120"/>
        <w:jc w:val="both"/>
        <w:outlineLvl w:val="0"/>
        <w:rPr>
          <w:rFonts w:ascii="Arial" w:hAnsi="Arial"/>
          <w:b/>
          <w:color w:val="1F497D" w:themeColor="text2"/>
          <w:sz w:val="26"/>
          <w:szCs w:val="26"/>
        </w:rPr>
      </w:pPr>
      <w:r w:rsidRPr="008B6508">
        <w:rPr>
          <w:rFonts w:ascii="Arial" w:hAnsi="Arial" w:cs="Arial"/>
          <w:b/>
          <w:color w:val="1F497D" w:themeColor="text2"/>
          <w:sz w:val="26"/>
          <w:szCs w:val="26"/>
        </w:rPr>
        <w:t>Cresce l’età degli sposi</w:t>
      </w:r>
    </w:p>
    <w:p w14:paraId="1BD803AD" w14:textId="47D82DA4" w:rsidR="007B4899" w:rsidRDefault="002A5C47" w:rsidP="00C76837">
      <w:pPr>
        <w:spacing w:after="120"/>
        <w:jc w:val="both"/>
        <w:outlineLvl w:val="0"/>
        <w:rPr>
          <w:rFonts w:ascii="Arial" w:hAnsi="Arial" w:cs="Arial"/>
          <w:sz w:val="22"/>
          <w:szCs w:val="22"/>
        </w:rPr>
      </w:pPr>
      <w:r>
        <w:rPr>
          <w:rFonts w:ascii="Arial" w:hAnsi="Arial" w:cs="Arial"/>
          <w:sz w:val="22"/>
          <w:szCs w:val="22"/>
        </w:rPr>
        <w:t xml:space="preserve">Come già ricordato, l’età in cui ci si sposa </w:t>
      </w:r>
      <w:r w:rsidR="0036647F">
        <w:rPr>
          <w:rFonts w:ascii="Arial" w:hAnsi="Arial" w:cs="Arial"/>
          <w:sz w:val="22"/>
          <w:szCs w:val="22"/>
        </w:rPr>
        <w:t>è in continua crescita.</w:t>
      </w:r>
      <w:r w:rsidR="006373DD">
        <w:rPr>
          <w:rFonts w:ascii="Arial" w:hAnsi="Arial" w:cs="Arial"/>
          <w:sz w:val="22"/>
          <w:szCs w:val="22"/>
        </w:rPr>
        <w:t xml:space="preserve"> L</w:t>
      </w:r>
      <w:r w:rsidR="00C11976">
        <w:rPr>
          <w:rFonts w:ascii="Arial" w:hAnsi="Arial" w:cs="Arial"/>
          <w:sz w:val="22"/>
          <w:szCs w:val="22"/>
        </w:rPr>
        <w:t xml:space="preserve">’anno </w:t>
      </w:r>
      <w:r w:rsidR="0036647F">
        <w:rPr>
          <w:rFonts w:ascii="Arial" w:hAnsi="Arial" w:cs="Arial"/>
          <w:sz w:val="22"/>
          <w:szCs w:val="22"/>
        </w:rPr>
        <w:t>del</w:t>
      </w:r>
      <w:r w:rsidR="00C11976">
        <w:rPr>
          <w:rFonts w:ascii="Arial" w:hAnsi="Arial" w:cs="Arial"/>
          <w:sz w:val="22"/>
          <w:szCs w:val="22"/>
        </w:rPr>
        <w:t>la pandemia ha portato a una contrazione dei matrimoni</w:t>
      </w:r>
      <w:r w:rsidR="00B81CCD">
        <w:rPr>
          <w:rFonts w:ascii="Arial" w:hAnsi="Arial" w:cs="Arial"/>
          <w:sz w:val="22"/>
          <w:szCs w:val="22"/>
        </w:rPr>
        <w:t xml:space="preserve"> di</w:t>
      </w:r>
      <w:r w:rsidR="00C11976">
        <w:rPr>
          <w:rFonts w:ascii="Arial" w:hAnsi="Arial" w:cs="Arial"/>
          <w:sz w:val="22"/>
          <w:szCs w:val="22"/>
        </w:rPr>
        <w:t xml:space="preserve"> chi ha meno di 40 anni</w:t>
      </w:r>
      <w:r w:rsidR="00DE5277">
        <w:rPr>
          <w:rFonts w:ascii="Arial" w:hAnsi="Arial" w:cs="Arial"/>
          <w:sz w:val="22"/>
          <w:szCs w:val="22"/>
        </w:rPr>
        <w:t xml:space="preserve">; tuttavia, </w:t>
      </w:r>
      <w:r w:rsidR="00C11976">
        <w:rPr>
          <w:rFonts w:ascii="Arial" w:hAnsi="Arial" w:cs="Arial"/>
          <w:sz w:val="22"/>
          <w:szCs w:val="22"/>
        </w:rPr>
        <w:t xml:space="preserve">quello che si osserva mettendo a confronto </w:t>
      </w:r>
      <w:r w:rsidR="00B81CCD">
        <w:rPr>
          <w:rFonts w:ascii="Arial" w:hAnsi="Arial" w:cs="Arial"/>
          <w:sz w:val="22"/>
          <w:szCs w:val="22"/>
        </w:rPr>
        <w:t>il</w:t>
      </w:r>
      <w:r w:rsidR="00C11976">
        <w:rPr>
          <w:rFonts w:ascii="Arial" w:hAnsi="Arial" w:cs="Arial"/>
          <w:sz w:val="22"/>
          <w:szCs w:val="22"/>
        </w:rPr>
        <w:t xml:space="preserve"> 2021</w:t>
      </w:r>
      <w:r w:rsidR="00B81CCD">
        <w:rPr>
          <w:rStyle w:val="Rimandonotadichiusura"/>
          <w:rFonts w:ascii="Arial" w:hAnsi="Arial" w:cs="Arial"/>
          <w:sz w:val="22"/>
          <w:szCs w:val="22"/>
        </w:rPr>
        <w:endnoteReference w:id="9"/>
      </w:r>
      <w:r w:rsidR="00B81CCD">
        <w:rPr>
          <w:rFonts w:ascii="Arial" w:hAnsi="Arial" w:cs="Arial"/>
          <w:sz w:val="22"/>
          <w:szCs w:val="22"/>
        </w:rPr>
        <w:t xml:space="preserve"> con i due anni precedenti</w:t>
      </w:r>
      <w:r w:rsidR="00C11976">
        <w:rPr>
          <w:rFonts w:ascii="Arial" w:hAnsi="Arial" w:cs="Arial"/>
          <w:sz w:val="22"/>
          <w:szCs w:val="22"/>
        </w:rPr>
        <w:t xml:space="preserve"> è una sorta di ritorno alla struttura per età </w:t>
      </w:r>
      <w:r w:rsidR="00DE5277">
        <w:rPr>
          <w:rFonts w:ascii="Arial" w:hAnsi="Arial" w:cs="Arial"/>
          <w:sz w:val="22"/>
          <w:szCs w:val="22"/>
        </w:rPr>
        <w:t>del 2019 (Figura 6)</w:t>
      </w:r>
      <w:r w:rsidR="00C11976">
        <w:rPr>
          <w:rFonts w:ascii="Arial" w:hAnsi="Arial" w:cs="Arial"/>
          <w:sz w:val="22"/>
          <w:szCs w:val="22"/>
        </w:rPr>
        <w:t xml:space="preserve">. </w:t>
      </w:r>
      <w:r w:rsidR="00DE5277">
        <w:rPr>
          <w:rFonts w:ascii="Arial" w:hAnsi="Arial" w:cs="Arial"/>
          <w:sz w:val="22"/>
          <w:szCs w:val="22"/>
        </w:rPr>
        <w:t>L</w:t>
      </w:r>
      <w:r w:rsidR="00C11976">
        <w:rPr>
          <w:rFonts w:ascii="Arial" w:hAnsi="Arial" w:cs="Arial"/>
          <w:sz w:val="22"/>
          <w:szCs w:val="22"/>
        </w:rPr>
        <w:t xml:space="preserve">a classe 30-39 anni in cui cade l’età media al matrimonio appare nel 2021 </w:t>
      </w:r>
      <w:r w:rsidR="0036647F">
        <w:rPr>
          <w:rFonts w:ascii="Arial" w:hAnsi="Arial" w:cs="Arial"/>
          <w:sz w:val="22"/>
          <w:szCs w:val="22"/>
        </w:rPr>
        <w:t xml:space="preserve">(dopo il calo subito tra 2019 e 2020) </w:t>
      </w:r>
      <w:r w:rsidR="003F1728">
        <w:rPr>
          <w:rFonts w:ascii="Arial" w:hAnsi="Arial" w:cs="Arial"/>
          <w:sz w:val="22"/>
          <w:szCs w:val="22"/>
        </w:rPr>
        <w:t xml:space="preserve">ancora </w:t>
      </w:r>
      <w:r w:rsidR="00C11976">
        <w:rPr>
          <w:rFonts w:ascii="Arial" w:hAnsi="Arial" w:cs="Arial"/>
          <w:sz w:val="22"/>
          <w:szCs w:val="22"/>
        </w:rPr>
        <w:t xml:space="preserve">più consistente soprattutto per gli </w:t>
      </w:r>
      <w:r w:rsidR="0036647F">
        <w:rPr>
          <w:rFonts w:ascii="Arial" w:hAnsi="Arial" w:cs="Arial"/>
          <w:sz w:val="22"/>
          <w:szCs w:val="22"/>
        </w:rPr>
        <w:t>uomini</w:t>
      </w:r>
      <w:r w:rsidR="00C11976">
        <w:rPr>
          <w:rFonts w:ascii="Arial" w:hAnsi="Arial" w:cs="Arial"/>
          <w:sz w:val="22"/>
          <w:szCs w:val="22"/>
        </w:rPr>
        <w:t xml:space="preserve"> (</w:t>
      </w:r>
      <w:r>
        <w:rPr>
          <w:rFonts w:ascii="Arial" w:hAnsi="Arial" w:cs="Arial"/>
          <w:sz w:val="22"/>
          <w:szCs w:val="22"/>
        </w:rPr>
        <w:t>4</w:t>
      </w:r>
      <w:r w:rsidR="003F1728">
        <w:rPr>
          <w:rFonts w:ascii="Arial" w:hAnsi="Arial" w:cs="Arial"/>
          <w:sz w:val="22"/>
          <w:szCs w:val="22"/>
        </w:rPr>
        <w:t>9</w:t>
      </w:r>
      <w:r>
        <w:rPr>
          <w:rFonts w:ascii="Arial" w:hAnsi="Arial" w:cs="Arial"/>
          <w:sz w:val="22"/>
          <w:szCs w:val="22"/>
        </w:rPr>
        <w:t xml:space="preserve">,7% </w:t>
      </w:r>
      <w:r w:rsidR="00C11976">
        <w:rPr>
          <w:rFonts w:ascii="Arial" w:hAnsi="Arial" w:cs="Arial"/>
          <w:sz w:val="22"/>
          <w:szCs w:val="22"/>
        </w:rPr>
        <w:t xml:space="preserve">nel </w:t>
      </w:r>
      <w:r w:rsidR="008B6508">
        <w:rPr>
          <w:rFonts w:ascii="Arial" w:hAnsi="Arial" w:cs="Arial"/>
          <w:sz w:val="22"/>
          <w:szCs w:val="22"/>
        </w:rPr>
        <w:t>2021</w:t>
      </w:r>
      <w:r w:rsidR="0036647F">
        <w:rPr>
          <w:rFonts w:ascii="Arial" w:hAnsi="Arial" w:cs="Arial"/>
          <w:sz w:val="22"/>
          <w:szCs w:val="22"/>
        </w:rPr>
        <w:t>;</w:t>
      </w:r>
      <w:r>
        <w:rPr>
          <w:rFonts w:ascii="Arial" w:hAnsi="Arial" w:cs="Arial"/>
          <w:sz w:val="22"/>
          <w:szCs w:val="22"/>
        </w:rPr>
        <w:t xml:space="preserve"> </w:t>
      </w:r>
      <w:r w:rsidR="003F1728">
        <w:rPr>
          <w:rFonts w:ascii="Arial" w:hAnsi="Arial" w:cs="Arial"/>
          <w:sz w:val="22"/>
          <w:szCs w:val="22"/>
        </w:rPr>
        <w:t>45,8</w:t>
      </w:r>
      <w:r>
        <w:rPr>
          <w:rFonts w:ascii="Arial" w:hAnsi="Arial" w:cs="Arial"/>
          <w:sz w:val="22"/>
          <w:szCs w:val="22"/>
        </w:rPr>
        <w:t>%</w:t>
      </w:r>
      <w:r w:rsidR="003F1728">
        <w:rPr>
          <w:rFonts w:ascii="Arial" w:hAnsi="Arial" w:cs="Arial"/>
          <w:sz w:val="22"/>
          <w:szCs w:val="22"/>
        </w:rPr>
        <w:t xml:space="preserve"> </w:t>
      </w:r>
      <w:r w:rsidR="0036647F">
        <w:rPr>
          <w:rFonts w:ascii="Arial" w:hAnsi="Arial" w:cs="Arial"/>
          <w:sz w:val="22"/>
          <w:szCs w:val="22"/>
        </w:rPr>
        <w:t>n</w:t>
      </w:r>
      <w:r w:rsidR="003F1728">
        <w:rPr>
          <w:rFonts w:ascii="Arial" w:hAnsi="Arial" w:cs="Arial"/>
          <w:sz w:val="22"/>
          <w:szCs w:val="22"/>
        </w:rPr>
        <w:t>el 2019</w:t>
      </w:r>
      <w:r w:rsidR="00C11976">
        <w:rPr>
          <w:rFonts w:ascii="Arial" w:hAnsi="Arial" w:cs="Arial"/>
          <w:sz w:val="22"/>
          <w:szCs w:val="22"/>
        </w:rPr>
        <w:t xml:space="preserve">). </w:t>
      </w:r>
    </w:p>
    <w:p w14:paraId="5AE7B995" w14:textId="7BDF5555" w:rsidR="002A5C47" w:rsidRPr="00851A9E" w:rsidRDefault="003F1728" w:rsidP="00C76837">
      <w:pPr>
        <w:spacing w:after="120"/>
        <w:jc w:val="both"/>
        <w:outlineLvl w:val="0"/>
        <w:rPr>
          <w:rFonts w:ascii="Arial" w:hAnsi="Arial" w:cs="Arial"/>
          <w:sz w:val="22"/>
          <w:szCs w:val="22"/>
        </w:rPr>
      </w:pPr>
      <w:r>
        <w:rPr>
          <w:rFonts w:ascii="Arial" w:hAnsi="Arial" w:cs="Arial"/>
          <w:sz w:val="22"/>
          <w:szCs w:val="22"/>
        </w:rPr>
        <w:t xml:space="preserve">L’incidenza </w:t>
      </w:r>
      <w:r w:rsidR="00015E66">
        <w:rPr>
          <w:rFonts w:ascii="Arial" w:hAnsi="Arial" w:cs="Arial"/>
          <w:sz w:val="22"/>
          <w:szCs w:val="22"/>
        </w:rPr>
        <w:t>dei matr</w:t>
      </w:r>
      <w:r w:rsidR="00EA008A">
        <w:rPr>
          <w:rFonts w:ascii="Arial" w:hAnsi="Arial" w:cs="Arial"/>
          <w:sz w:val="22"/>
          <w:szCs w:val="22"/>
        </w:rPr>
        <w:t xml:space="preserve">imoni tra sposi fino a 29 anni, </w:t>
      </w:r>
      <w:r>
        <w:rPr>
          <w:rFonts w:ascii="Arial" w:hAnsi="Arial" w:cs="Arial"/>
          <w:sz w:val="22"/>
          <w:szCs w:val="22"/>
        </w:rPr>
        <w:t xml:space="preserve">invece, </w:t>
      </w:r>
      <w:r w:rsidR="00B83B73">
        <w:rPr>
          <w:rFonts w:ascii="Arial" w:hAnsi="Arial" w:cs="Arial"/>
          <w:sz w:val="22"/>
          <w:szCs w:val="22"/>
        </w:rPr>
        <w:t>vede un</w:t>
      </w:r>
      <w:r>
        <w:rPr>
          <w:rFonts w:ascii="Arial" w:hAnsi="Arial" w:cs="Arial"/>
          <w:sz w:val="22"/>
          <w:szCs w:val="22"/>
        </w:rPr>
        <w:t>a diminuzione rispetto al periodo</w:t>
      </w:r>
      <w:r w:rsidR="00132230">
        <w:rPr>
          <w:rFonts w:ascii="Arial" w:hAnsi="Arial" w:cs="Arial"/>
          <w:sz w:val="22"/>
          <w:szCs w:val="22"/>
        </w:rPr>
        <w:t xml:space="preserve"> </w:t>
      </w:r>
      <w:r>
        <w:rPr>
          <w:rFonts w:ascii="Arial" w:hAnsi="Arial" w:cs="Arial"/>
          <w:sz w:val="22"/>
          <w:szCs w:val="22"/>
        </w:rPr>
        <w:t>pre-pandemico</w:t>
      </w:r>
      <w:r w:rsidR="00B83B73">
        <w:rPr>
          <w:rFonts w:ascii="Arial" w:hAnsi="Arial" w:cs="Arial"/>
          <w:sz w:val="22"/>
          <w:szCs w:val="22"/>
        </w:rPr>
        <w:t xml:space="preserve"> sia per gli uomini sia per le donne</w:t>
      </w:r>
      <w:r w:rsidR="0036647F">
        <w:rPr>
          <w:rFonts w:ascii="Arial" w:hAnsi="Arial" w:cs="Arial"/>
          <w:sz w:val="22"/>
          <w:szCs w:val="22"/>
        </w:rPr>
        <w:t xml:space="preserve">, </w:t>
      </w:r>
      <w:r w:rsidR="002A5C47">
        <w:rPr>
          <w:rFonts w:ascii="Arial" w:hAnsi="Arial" w:cs="Arial"/>
          <w:sz w:val="22"/>
          <w:szCs w:val="22"/>
        </w:rPr>
        <w:t>testimonia</w:t>
      </w:r>
      <w:r w:rsidR="0036647F">
        <w:rPr>
          <w:rFonts w:ascii="Arial" w:hAnsi="Arial" w:cs="Arial"/>
          <w:sz w:val="22"/>
          <w:szCs w:val="22"/>
        </w:rPr>
        <w:t>ndo</w:t>
      </w:r>
      <w:r w:rsidR="002A5C47">
        <w:rPr>
          <w:rFonts w:ascii="Arial" w:hAnsi="Arial" w:cs="Arial"/>
          <w:sz w:val="22"/>
          <w:szCs w:val="22"/>
        </w:rPr>
        <w:t xml:space="preserve"> le</w:t>
      </w:r>
      <w:r w:rsidR="007B4899">
        <w:rPr>
          <w:rFonts w:ascii="Arial" w:hAnsi="Arial" w:cs="Arial"/>
          <w:sz w:val="22"/>
          <w:szCs w:val="22"/>
        </w:rPr>
        <w:t xml:space="preserve"> già evidenziate</w:t>
      </w:r>
      <w:r w:rsidR="002A5C47">
        <w:rPr>
          <w:rFonts w:ascii="Arial" w:hAnsi="Arial" w:cs="Arial"/>
          <w:sz w:val="22"/>
          <w:szCs w:val="22"/>
        </w:rPr>
        <w:t xml:space="preserve"> difficoltà </w:t>
      </w:r>
      <w:r w:rsidR="0036647F">
        <w:rPr>
          <w:rFonts w:ascii="Arial" w:hAnsi="Arial" w:cs="Arial"/>
          <w:sz w:val="22"/>
          <w:szCs w:val="22"/>
        </w:rPr>
        <w:t>de</w:t>
      </w:r>
      <w:r w:rsidR="002A5C47">
        <w:rPr>
          <w:rFonts w:ascii="Arial" w:hAnsi="Arial" w:cs="Arial"/>
          <w:sz w:val="22"/>
          <w:szCs w:val="22"/>
        </w:rPr>
        <w:t xml:space="preserve">i giovani </w:t>
      </w:r>
      <w:r w:rsidR="007B4899">
        <w:rPr>
          <w:rFonts w:ascii="Arial" w:hAnsi="Arial" w:cs="Arial"/>
          <w:sz w:val="22"/>
          <w:szCs w:val="22"/>
        </w:rPr>
        <w:t xml:space="preserve">a </w:t>
      </w:r>
      <w:r w:rsidR="002A5C47">
        <w:rPr>
          <w:rFonts w:ascii="Arial" w:hAnsi="Arial" w:cs="Arial"/>
          <w:sz w:val="22"/>
          <w:szCs w:val="22"/>
        </w:rPr>
        <w:t>formare una famiglia</w:t>
      </w:r>
      <w:r w:rsidR="00B83B73">
        <w:rPr>
          <w:rFonts w:ascii="Arial" w:hAnsi="Arial" w:cs="Arial"/>
          <w:sz w:val="22"/>
          <w:szCs w:val="22"/>
        </w:rPr>
        <w:t xml:space="preserve"> </w:t>
      </w:r>
      <w:r w:rsidR="0036647F">
        <w:rPr>
          <w:rFonts w:ascii="Arial" w:hAnsi="Arial" w:cs="Arial"/>
          <w:sz w:val="22"/>
          <w:szCs w:val="22"/>
        </w:rPr>
        <w:t>nel</w:t>
      </w:r>
      <w:r w:rsidR="006B6B91">
        <w:rPr>
          <w:rFonts w:ascii="Arial" w:hAnsi="Arial" w:cs="Arial"/>
          <w:sz w:val="22"/>
          <w:szCs w:val="22"/>
        </w:rPr>
        <w:t xml:space="preserve"> contesto di </w:t>
      </w:r>
      <w:r w:rsidR="0036647F">
        <w:rPr>
          <w:rFonts w:ascii="Arial" w:hAnsi="Arial" w:cs="Arial"/>
          <w:sz w:val="22"/>
          <w:szCs w:val="22"/>
        </w:rPr>
        <w:t xml:space="preserve">maggiore </w:t>
      </w:r>
      <w:r w:rsidR="006B6B91">
        <w:rPr>
          <w:rFonts w:ascii="Arial" w:hAnsi="Arial" w:cs="Arial"/>
          <w:sz w:val="22"/>
          <w:szCs w:val="22"/>
        </w:rPr>
        <w:t xml:space="preserve">incertezza economica </w:t>
      </w:r>
      <w:r w:rsidR="0036647F">
        <w:rPr>
          <w:rFonts w:ascii="Arial" w:hAnsi="Arial" w:cs="Arial"/>
          <w:sz w:val="22"/>
          <w:szCs w:val="22"/>
        </w:rPr>
        <w:t>dovuta</w:t>
      </w:r>
      <w:r w:rsidR="006B6B91">
        <w:rPr>
          <w:rFonts w:ascii="Arial" w:hAnsi="Arial" w:cs="Arial"/>
          <w:sz w:val="22"/>
          <w:szCs w:val="22"/>
        </w:rPr>
        <w:t xml:space="preserve"> alla </w:t>
      </w:r>
      <w:r w:rsidR="007C239C">
        <w:rPr>
          <w:rFonts w:ascii="Arial" w:hAnsi="Arial" w:cs="Arial"/>
          <w:sz w:val="22"/>
          <w:szCs w:val="22"/>
        </w:rPr>
        <w:t>pandemia</w:t>
      </w:r>
      <w:r w:rsidR="002A5C47">
        <w:rPr>
          <w:rFonts w:ascii="Arial" w:hAnsi="Arial" w:cs="Arial"/>
          <w:sz w:val="22"/>
          <w:szCs w:val="22"/>
        </w:rPr>
        <w:t>.</w:t>
      </w:r>
      <w:r w:rsidR="007B4899">
        <w:rPr>
          <w:rFonts w:ascii="Arial" w:hAnsi="Arial" w:cs="Arial"/>
          <w:sz w:val="22"/>
          <w:szCs w:val="22"/>
        </w:rPr>
        <w:t xml:space="preserve"> </w:t>
      </w:r>
    </w:p>
    <w:p w14:paraId="33B23AA6" w14:textId="54A65CEC" w:rsidR="009E721A" w:rsidRDefault="00851A9E" w:rsidP="00C76837">
      <w:pPr>
        <w:spacing w:after="120"/>
        <w:jc w:val="both"/>
        <w:outlineLvl w:val="0"/>
        <w:rPr>
          <w:rFonts w:ascii="Arial" w:hAnsi="Arial" w:cs="Arial"/>
          <w:sz w:val="22"/>
          <w:szCs w:val="22"/>
        </w:rPr>
      </w:pPr>
      <w:r w:rsidRPr="00851A9E">
        <w:rPr>
          <w:rFonts w:ascii="Arial" w:hAnsi="Arial" w:cs="Arial"/>
          <w:sz w:val="22"/>
          <w:szCs w:val="22"/>
        </w:rPr>
        <w:t>Il profilo per età</w:t>
      </w:r>
      <w:r w:rsidR="00FC74BA">
        <w:rPr>
          <w:rFonts w:ascii="Arial" w:hAnsi="Arial" w:cs="Arial"/>
          <w:sz w:val="22"/>
          <w:szCs w:val="22"/>
        </w:rPr>
        <w:t xml:space="preserve"> </w:t>
      </w:r>
      <w:r w:rsidR="002A5C47">
        <w:rPr>
          <w:rFonts w:ascii="Arial" w:hAnsi="Arial" w:cs="Arial"/>
          <w:sz w:val="22"/>
          <w:szCs w:val="22"/>
        </w:rPr>
        <w:t>degli uniti civilmente</w:t>
      </w:r>
      <w:r w:rsidR="00815A2A">
        <w:rPr>
          <w:rFonts w:ascii="Arial" w:hAnsi="Arial" w:cs="Arial"/>
          <w:sz w:val="22"/>
          <w:szCs w:val="22"/>
        </w:rPr>
        <w:t>,</w:t>
      </w:r>
      <w:r w:rsidR="00FC74BA">
        <w:rPr>
          <w:rFonts w:ascii="Arial" w:hAnsi="Arial" w:cs="Arial"/>
          <w:sz w:val="22"/>
          <w:szCs w:val="22"/>
        </w:rPr>
        <w:t xml:space="preserve"> </w:t>
      </w:r>
      <w:r w:rsidR="00815A2A">
        <w:rPr>
          <w:rFonts w:ascii="Arial" w:hAnsi="Arial" w:cs="Arial"/>
          <w:sz w:val="22"/>
          <w:szCs w:val="22"/>
        </w:rPr>
        <w:t>già</w:t>
      </w:r>
      <w:r w:rsidR="00815A2A" w:rsidRPr="00851A9E">
        <w:rPr>
          <w:rFonts w:ascii="Arial" w:hAnsi="Arial" w:cs="Arial"/>
          <w:sz w:val="22"/>
          <w:szCs w:val="22"/>
        </w:rPr>
        <w:t xml:space="preserve"> più maturo</w:t>
      </w:r>
      <w:r w:rsidR="00815A2A">
        <w:rPr>
          <w:rFonts w:ascii="Arial" w:hAnsi="Arial" w:cs="Arial"/>
          <w:sz w:val="22"/>
          <w:szCs w:val="22"/>
        </w:rPr>
        <w:t>,</w:t>
      </w:r>
      <w:r w:rsidR="00815A2A" w:rsidRPr="00851A9E">
        <w:rPr>
          <w:rFonts w:ascii="Arial" w:hAnsi="Arial" w:cs="Arial"/>
          <w:sz w:val="22"/>
          <w:szCs w:val="22"/>
        </w:rPr>
        <w:t xml:space="preserve"> </w:t>
      </w:r>
      <w:r w:rsidR="00FC74BA">
        <w:rPr>
          <w:rFonts w:ascii="Arial" w:hAnsi="Arial" w:cs="Arial"/>
          <w:sz w:val="22"/>
          <w:szCs w:val="22"/>
        </w:rPr>
        <w:t xml:space="preserve">si è accentuato: </w:t>
      </w:r>
      <w:r w:rsidR="00774D61">
        <w:rPr>
          <w:rFonts w:ascii="Arial" w:hAnsi="Arial" w:cs="Arial"/>
          <w:sz w:val="22"/>
          <w:szCs w:val="22"/>
        </w:rPr>
        <w:t>s</w:t>
      </w:r>
      <w:r w:rsidR="00A10780">
        <w:rPr>
          <w:rFonts w:ascii="Arial" w:hAnsi="Arial" w:cs="Arial"/>
          <w:sz w:val="22"/>
          <w:szCs w:val="22"/>
        </w:rPr>
        <w:t xml:space="preserve">e </w:t>
      </w:r>
      <w:r w:rsidR="003F1728">
        <w:rPr>
          <w:rFonts w:ascii="Arial" w:hAnsi="Arial" w:cs="Arial"/>
          <w:sz w:val="22"/>
          <w:szCs w:val="22"/>
        </w:rPr>
        <w:t xml:space="preserve">nel </w:t>
      </w:r>
      <w:r w:rsidR="00A10780">
        <w:rPr>
          <w:rFonts w:ascii="Arial" w:hAnsi="Arial" w:cs="Arial"/>
          <w:sz w:val="22"/>
          <w:szCs w:val="22"/>
        </w:rPr>
        <w:t xml:space="preserve">2019 </w:t>
      </w:r>
      <w:r w:rsidR="00774D61">
        <w:rPr>
          <w:rFonts w:ascii="Arial" w:hAnsi="Arial" w:cs="Arial"/>
          <w:sz w:val="22"/>
          <w:szCs w:val="22"/>
        </w:rPr>
        <w:t>il</w:t>
      </w:r>
      <w:r w:rsidR="00A10780">
        <w:rPr>
          <w:rFonts w:ascii="Arial" w:hAnsi="Arial" w:cs="Arial"/>
          <w:sz w:val="22"/>
          <w:szCs w:val="22"/>
        </w:rPr>
        <w:t xml:space="preserve"> 3</w:t>
      </w:r>
      <w:r w:rsidR="003F1728">
        <w:rPr>
          <w:rFonts w:ascii="Arial" w:hAnsi="Arial" w:cs="Arial"/>
          <w:sz w:val="22"/>
          <w:szCs w:val="22"/>
        </w:rPr>
        <w:t>1</w:t>
      </w:r>
      <w:r w:rsidR="00A10780">
        <w:rPr>
          <w:rFonts w:ascii="Arial" w:hAnsi="Arial" w:cs="Arial"/>
          <w:sz w:val="22"/>
          <w:szCs w:val="22"/>
        </w:rPr>
        <w:t>,</w:t>
      </w:r>
      <w:r w:rsidR="003F1728">
        <w:rPr>
          <w:rFonts w:ascii="Arial" w:hAnsi="Arial" w:cs="Arial"/>
          <w:sz w:val="22"/>
          <w:szCs w:val="22"/>
        </w:rPr>
        <w:t>5</w:t>
      </w:r>
      <w:r w:rsidR="00A10780">
        <w:rPr>
          <w:rFonts w:ascii="Arial" w:hAnsi="Arial" w:cs="Arial"/>
          <w:sz w:val="22"/>
          <w:szCs w:val="22"/>
        </w:rPr>
        <w:t>%</w:t>
      </w:r>
      <w:r w:rsidR="00774D61">
        <w:rPr>
          <w:rFonts w:ascii="Arial" w:hAnsi="Arial" w:cs="Arial"/>
          <w:sz w:val="22"/>
          <w:szCs w:val="22"/>
        </w:rPr>
        <w:t xml:space="preserve"> degli uomini in unione civile </w:t>
      </w:r>
      <w:r w:rsidR="003F1728">
        <w:rPr>
          <w:rFonts w:ascii="Arial" w:hAnsi="Arial" w:cs="Arial"/>
          <w:sz w:val="22"/>
          <w:szCs w:val="22"/>
        </w:rPr>
        <w:t>aveva</w:t>
      </w:r>
      <w:r w:rsidR="00774D61">
        <w:rPr>
          <w:rFonts w:ascii="Arial" w:hAnsi="Arial" w:cs="Arial"/>
          <w:sz w:val="22"/>
          <w:szCs w:val="22"/>
        </w:rPr>
        <w:t xml:space="preserve"> più di 50 anni</w:t>
      </w:r>
      <w:r w:rsidR="00A10780">
        <w:rPr>
          <w:rFonts w:ascii="Arial" w:hAnsi="Arial" w:cs="Arial"/>
          <w:sz w:val="22"/>
          <w:szCs w:val="22"/>
        </w:rPr>
        <w:t xml:space="preserve">, </w:t>
      </w:r>
      <w:r w:rsidR="003F1728">
        <w:rPr>
          <w:rFonts w:ascii="Arial" w:hAnsi="Arial" w:cs="Arial"/>
          <w:sz w:val="22"/>
          <w:szCs w:val="22"/>
        </w:rPr>
        <w:t>nei</w:t>
      </w:r>
      <w:r w:rsidR="00A10780">
        <w:rPr>
          <w:rFonts w:ascii="Arial" w:hAnsi="Arial" w:cs="Arial"/>
          <w:sz w:val="22"/>
          <w:szCs w:val="22"/>
        </w:rPr>
        <w:t xml:space="preserve"> due anni successivi la quota è pari a </w:t>
      </w:r>
      <w:r w:rsidR="00774D61">
        <w:rPr>
          <w:rFonts w:ascii="Arial" w:hAnsi="Arial" w:cs="Arial"/>
          <w:sz w:val="22"/>
          <w:szCs w:val="22"/>
        </w:rPr>
        <w:t xml:space="preserve">oltre </w:t>
      </w:r>
      <w:r w:rsidR="00815A2A">
        <w:rPr>
          <w:rFonts w:ascii="Arial" w:hAnsi="Arial" w:cs="Arial"/>
          <w:sz w:val="22"/>
          <w:szCs w:val="22"/>
        </w:rPr>
        <w:t>quattro</w:t>
      </w:r>
      <w:r w:rsidR="00A10780">
        <w:rPr>
          <w:rFonts w:ascii="Arial" w:hAnsi="Arial" w:cs="Arial"/>
          <w:sz w:val="22"/>
          <w:szCs w:val="22"/>
        </w:rPr>
        <w:t xml:space="preserve"> su 10. </w:t>
      </w:r>
      <w:r w:rsidR="00D923AA">
        <w:rPr>
          <w:rFonts w:ascii="Arial" w:hAnsi="Arial" w:cs="Arial"/>
          <w:sz w:val="22"/>
          <w:szCs w:val="22"/>
        </w:rPr>
        <w:t xml:space="preserve">Per le donne unite civilmente, invece, </w:t>
      </w:r>
      <w:r w:rsidR="007B4899">
        <w:rPr>
          <w:rFonts w:ascii="Arial" w:hAnsi="Arial" w:cs="Arial"/>
          <w:sz w:val="22"/>
          <w:szCs w:val="22"/>
        </w:rPr>
        <w:t>la</w:t>
      </w:r>
      <w:r w:rsidR="00D923AA">
        <w:rPr>
          <w:rFonts w:ascii="Arial" w:hAnsi="Arial" w:cs="Arial"/>
          <w:sz w:val="22"/>
          <w:szCs w:val="22"/>
        </w:rPr>
        <w:t xml:space="preserve"> struttura per età</w:t>
      </w:r>
      <w:r w:rsidR="007B4899">
        <w:rPr>
          <w:rFonts w:ascii="Arial" w:hAnsi="Arial" w:cs="Arial"/>
          <w:sz w:val="22"/>
          <w:szCs w:val="22"/>
        </w:rPr>
        <w:t xml:space="preserve"> è in</w:t>
      </w:r>
      <w:r w:rsidR="00D923AA">
        <w:rPr>
          <w:rFonts w:ascii="Arial" w:hAnsi="Arial" w:cs="Arial"/>
          <w:sz w:val="22"/>
          <w:szCs w:val="22"/>
        </w:rPr>
        <w:t xml:space="preserve"> </w:t>
      </w:r>
      <w:r w:rsidR="00C70669">
        <w:rPr>
          <w:rFonts w:ascii="Arial" w:hAnsi="Arial" w:cs="Arial"/>
          <w:sz w:val="22"/>
          <w:szCs w:val="22"/>
        </w:rPr>
        <w:t>media più giovane rispetto al periodo pre-pandemico.</w:t>
      </w:r>
    </w:p>
    <w:p w14:paraId="2FAC2B9B" w14:textId="77777777" w:rsidR="009E721A" w:rsidRPr="00154F1A" w:rsidRDefault="009E721A" w:rsidP="00C76837">
      <w:pPr>
        <w:spacing w:after="120"/>
        <w:jc w:val="both"/>
        <w:outlineLvl w:val="0"/>
        <w:rPr>
          <w:rFonts w:ascii="Arial" w:hAnsi="Arial" w:cs="Arial"/>
          <w:szCs w:val="22"/>
        </w:rPr>
      </w:pPr>
    </w:p>
    <w:p w14:paraId="533AF724" w14:textId="77777777" w:rsidR="00815A2A" w:rsidRDefault="00815A2A" w:rsidP="00C76837">
      <w:pPr>
        <w:spacing w:after="120"/>
        <w:jc w:val="both"/>
        <w:outlineLvl w:val="0"/>
        <w:rPr>
          <w:rFonts w:ascii="Arial" w:hAnsi="Arial" w:cs="Arial"/>
          <w:sz w:val="36"/>
          <w:szCs w:val="32"/>
        </w:rPr>
      </w:pPr>
    </w:p>
    <w:p w14:paraId="79F22D7B" w14:textId="77777777" w:rsidR="00AE37DA" w:rsidRDefault="00AE37DA" w:rsidP="009E721A">
      <w:pPr>
        <w:autoSpaceDE w:val="0"/>
        <w:autoSpaceDN w:val="0"/>
        <w:adjustRightInd w:val="0"/>
        <w:spacing w:after="120"/>
        <w:rPr>
          <w:rFonts w:ascii="Arial Black" w:hAnsi="Arial Black" w:cs="Arial"/>
          <w:iCs/>
          <w:noProof/>
          <w:color w:val="1F497D" w:themeColor="text2"/>
          <w:sz w:val="22"/>
          <w:szCs w:val="22"/>
        </w:rPr>
      </w:pPr>
    </w:p>
    <w:p w14:paraId="3F780BF9" w14:textId="26A208E0" w:rsidR="00B0566C" w:rsidRDefault="004975C0" w:rsidP="00AE37DA">
      <w:pPr>
        <w:autoSpaceDE w:val="0"/>
        <w:autoSpaceDN w:val="0"/>
        <w:adjustRightInd w:val="0"/>
        <w:spacing w:after="80"/>
        <w:rPr>
          <w:rFonts w:ascii="Arial Narrow" w:hAnsi="Arial Narrow" w:cs="Arial"/>
          <w:color w:val="1F497D" w:themeColor="text2"/>
          <w:sz w:val="22"/>
          <w:szCs w:val="22"/>
        </w:rPr>
      </w:pPr>
      <w:r w:rsidRPr="007D109C">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6</w:t>
      </w:r>
      <w:r w:rsidRPr="007D109C">
        <w:rPr>
          <w:rFonts w:ascii="Arial Black" w:hAnsi="Arial Black" w:cs="Arial"/>
          <w:iCs/>
          <w:noProof/>
          <w:color w:val="1F497D" w:themeColor="text2"/>
          <w:sz w:val="22"/>
          <w:szCs w:val="22"/>
        </w:rPr>
        <w:t>.</w:t>
      </w:r>
      <w:r w:rsidRPr="007D109C">
        <w:rPr>
          <w:rFonts w:ascii="Arial Narrow" w:hAnsi="Arial Narrow" w:cs="Arial"/>
          <w:b/>
          <w:iCs/>
          <w:noProof/>
          <w:color w:val="1F497D" w:themeColor="text2"/>
          <w:sz w:val="22"/>
          <w:szCs w:val="22"/>
        </w:rPr>
        <w:t xml:space="preserve"> </w:t>
      </w:r>
      <w:r>
        <w:rPr>
          <w:rFonts w:ascii="Arial Narrow" w:hAnsi="Arial Narrow" w:cs="Arial"/>
          <w:b/>
          <w:iCs/>
          <w:noProof/>
          <w:color w:val="1F497D" w:themeColor="text2"/>
          <w:sz w:val="22"/>
          <w:szCs w:val="22"/>
        </w:rPr>
        <w:t>SPOSI E UNITI CIVILMENTE PER SESSO E CLASSI DI ET</w:t>
      </w:r>
      <w:r w:rsidRPr="00AB535E">
        <w:rPr>
          <w:rFonts w:ascii="Arial Narrow" w:hAnsi="Arial Narrow" w:cs="Arial"/>
          <w:b/>
          <w:iCs/>
          <w:noProof/>
          <w:color w:val="1F497D" w:themeColor="text2"/>
          <w:sz w:val="22"/>
          <w:szCs w:val="22"/>
        </w:rPr>
        <w:t>À</w:t>
      </w:r>
      <w:r>
        <w:rPr>
          <w:rFonts w:ascii="Arial Narrow" w:hAnsi="Arial Narrow" w:cs="Arial"/>
          <w:b/>
          <w:iCs/>
          <w:noProof/>
          <w:color w:val="1F497D" w:themeColor="text2"/>
          <w:sz w:val="22"/>
          <w:szCs w:val="22"/>
        </w:rPr>
        <w:t xml:space="preserve">. </w:t>
      </w:r>
      <w:r w:rsidR="00776D24">
        <w:rPr>
          <w:rFonts w:ascii="Arial Narrow" w:hAnsi="Arial Narrow" w:cs="Arial"/>
          <w:color w:val="1F497D" w:themeColor="text2"/>
          <w:sz w:val="22"/>
          <w:szCs w:val="22"/>
        </w:rPr>
        <w:t>A</w:t>
      </w:r>
      <w:r w:rsidR="00E5781A">
        <w:rPr>
          <w:rFonts w:ascii="Arial Narrow" w:hAnsi="Arial Narrow" w:cs="Arial"/>
          <w:color w:val="1F497D" w:themeColor="text2"/>
          <w:sz w:val="22"/>
          <w:szCs w:val="22"/>
        </w:rPr>
        <w:t xml:space="preserve">nni </w:t>
      </w:r>
      <w:r>
        <w:rPr>
          <w:rFonts w:ascii="Arial Narrow" w:hAnsi="Arial Narrow" w:cs="Arial"/>
          <w:color w:val="1F497D" w:themeColor="text2"/>
          <w:sz w:val="22"/>
          <w:szCs w:val="22"/>
        </w:rPr>
        <w:t>2019</w:t>
      </w:r>
      <w:r w:rsidRPr="0065736C">
        <w:rPr>
          <w:rFonts w:ascii="Arial Narrow" w:hAnsi="Arial Narrow" w:cs="Arial"/>
          <w:color w:val="1F497D" w:themeColor="text2"/>
          <w:sz w:val="22"/>
          <w:szCs w:val="22"/>
        </w:rPr>
        <w:t xml:space="preserve">, </w:t>
      </w:r>
      <w:r w:rsidR="00E5781A">
        <w:rPr>
          <w:rFonts w:ascii="Arial Narrow" w:hAnsi="Arial Narrow" w:cs="Arial"/>
          <w:color w:val="1F497D" w:themeColor="text2"/>
          <w:sz w:val="22"/>
          <w:szCs w:val="22"/>
        </w:rPr>
        <w:t>2020 e</w:t>
      </w:r>
      <w:r>
        <w:rPr>
          <w:rFonts w:ascii="Arial Narrow" w:hAnsi="Arial Narrow" w:cs="Arial"/>
          <w:color w:val="1F497D" w:themeColor="text2"/>
          <w:sz w:val="22"/>
          <w:szCs w:val="22"/>
        </w:rPr>
        <w:t xml:space="preserve"> 2021</w:t>
      </w:r>
      <w:r w:rsidR="00E5781A">
        <w:rPr>
          <w:rFonts w:ascii="Arial Narrow" w:hAnsi="Arial Narrow" w:cs="Arial"/>
          <w:color w:val="1F497D" w:themeColor="text2"/>
          <w:sz w:val="22"/>
          <w:szCs w:val="22"/>
        </w:rPr>
        <w:t>, composizione percentuale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5117"/>
      </w:tblGrid>
      <w:tr w:rsidR="00B0566C" w14:paraId="56322BC4" w14:textId="77777777" w:rsidTr="00ED5D9C">
        <w:tc>
          <w:tcPr>
            <w:tcW w:w="4746" w:type="dxa"/>
          </w:tcPr>
          <w:p w14:paraId="685338EE" w14:textId="39FF073C" w:rsidR="00B0566C" w:rsidRPr="00AE37DA" w:rsidRDefault="005764AF" w:rsidP="00E5781A">
            <w:pPr>
              <w:autoSpaceDE w:val="0"/>
              <w:autoSpaceDN w:val="0"/>
              <w:adjustRightInd w:val="0"/>
              <w:rPr>
                <w:rFonts w:ascii="Arial Narrow" w:hAnsi="Arial Narrow" w:cs="Arial"/>
                <w:color w:val="1F497D" w:themeColor="text2"/>
                <w:sz w:val="14"/>
                <w:szCs w:val="22"/>
              </w:rPr>
            </w:pPr>
            <w:r>
              <w:rPr>
                <w:rFonts w:ascii="Arial Narrow" w:hAnsi="Arial Narrow" w:cs="Arial"/>
                <w:color w:val="1F497D" w:themeColor="text2"/>
                <w:sz w:val="22"/>
                <w:szCs w:val="22"/>
              </w:rPr>
              <w:fldChar w:fldCharType="begin"/>
            </w:r>
            <w:r>
              <w:rPr>
                <w:rFonts w:ascii="Arial Narrow" w:hAnsi="Arial Narrow" w:cs="Arial"/>
                <w:color w:val="1F497D" w:themeColor="text2"/>
                <w:sz w:val="22"/>
                <w:szCs w:val="22"/>
              </w:rPr>
              <w:instrText xml:space="preserve"> LINK Excel.Sheet.12 "C:\\Users\\UTENTE\\Desktop\\Smart working\\Editing Report\\Report matrimoni unioni\\Tavole e grafici_stat repor2022_31 gennaio.xlsx!Fig. 6 Sposi Uniti Eta![Tavole e grafici_stat repor2022_31 gennaio.xlsx]Fig. 6 Sposi Uniti Eta Grafico 1" "" \a \p </w:instrText>
            </w:r>
            <w:r>
              <w:rPr>
                <w:rFonts w:ascii="Arial Narrow" w:hAnsi="Arial Narrow" w:cs="Arial"/>
                <w:color w:val="1F497D" w:themeColor="text2"/>
                <w:sz w:val="22"/>
                <w:szCs w:val="22"/>
              </w:rPr>
              <w:fldChar w:fldCharType="separate"/>
            </w:r>
            <w:r w:rsidR="00096AB9">
              <w:rPr>
                <w:rFonts w:ascii="Arial Narrow" w:hAnsi="Arial Narrow" w:cs="Arial"/>
                <w:color w:val="1F497D" w:themeColor="text2"/>
                <w:sz w:val="22"/>
                <w:szCs w:val="22"/>
              </w:rPr>
              <w:object w:dxaOrig="4640" w:dyaOrig="3234" w14:anchorId="58990D0D">
                <v:shape id="_x0000_i1026" type="#_x0000_t75" style="width:246.85pt;height:173.25pt">
                  <v:imagedata r:id="rId18" o:title=""/>
                </v:shape>
              </w:object>
            </w:r>
            <w:r>
              <w:rPr>
                <w:rFonts w:ascii="Arial Narrow" w:hAnsi="Arial Narrow" w:cs="Arial"/>
                <w:color w:val="1F497D" w:themeColor="text2"/>
                <w:sz w:val="22"/>
                <w:szCs w:val="22"/>
              </w:rPr>
              <w:fldChar w:fldCharType="end"/>
            </w:r>
          </w:p>
        </w:tc>
        <w:tc>
          <w:tcPr>
            <w:tcW w:w="5176" w:type="dxa"/>
          </w:tcPr>
          <w:p w14:paraId="5BBBFEFE" w14:textId="6494E69D" w:rsidR="00B0566C" w:rsidRDefault="005764AF" w:rsidP="00E5781A">
            <w:pPr>
              <w:autoSpaceDE w:val="0"/>
              <w:autoSpaceDN w:val="0"/>
              <w:adjustRightInd w:val="0"/>
              <w:rPr>
                <w:rFonts w:ascii="Arial Narrow" w:hAnsi="Arial Narrow" w:cs="Arial"/>
                <w:color w:val="1F497D" w:themeColor="text2"/>
                <w:sz w:val="22"/>
                <w:szCs w:val="22"/>
              </w:rPr>
            </w:pPr>
            <w:r>
              <w:rPr>
                <w:rFonts w:ascii="Arial Narrow" w:hAnsi="Arial Narrow" w:cs="Arial"/>
                <w:color w:val="1F497D" w:themeColor="text2"/>
                <w:sz w:val="22"/>
                <w:szCs w:val="22"/>
              </w:rPr>
              <w:fldChar w:fldCharType="begin"/>
            </w:r>
            <w:r>
              <w:rPr>
                <w:rFonts w:ascii="Arial Narrow" w:hAnsi="Arial Narrow" w:cs="Arial"/>
                <w:color w:val="1F497D" w:themeColor="text2"/>
                <w:sz w:val="22"/>
                <w:szCs w:val="22"/>
              </w:rPr>
              <w:instrText xml:space="preserve"> LINK Excel.Sheet.12 "C:\\Users\\UTENTE\\Desktop\\Smart working\\Editing Report\\Report matrimoni unioni\\Tavole e grafici_stat repor2022_31 gennaio.xlsx!Fig. 6 Sposi Uniti Eta![Tavole e grafici_stat repor2022_31 gennaio.xlsx]Fig. 6 Sposi Uniti Eta Grafico 2" "" \a \p </w:instrText>
            </w:r>
            <w:r>
              <w:rPr>
                <w:rFonts w:ascii="Arial Narrow" w:hAnsi="Arial Narrow" w:cs="Arial"/>
                <w:color w:val="1F497D" w:themeColor="text2"/>
                <w:sz w:val="22"/>
                <w:szCs w:val="22"/>
              </w:rPr>
              <w:fldChar w:fldCharType="separate"/>
            </w:r>
            <w:r w:rsidR="00096AB9">
              <w:rPr>
                <w:rFonts w:ascii="Arial Narrow" w:hAnsi="Arial Narrow" w:cs="Arial"/>
                <w:color w:val="1F497D" w:themeColor="text2"/>
                <w:sz w:val="22"/>
                <w:szCs w:val="22"/>
              </w:rPr>
              <w:object w:dxaOrig="5083" w:dyaOrig="3234" w14:anchorId="57438B98">
                <v:shape id="_x0000_i1027" type="#_x0000_t75" style="width:263.45pt;height:168.55pt">
                  <v:imagedata r:id="rId19" o:title=""/>
                </v:shape>
              </w:object>
            </w:r>
            <w:r>
              <w:rPr>
                <w:rFonts w:ascii="Arial Narrow" w:hAnsi="Arial Narrow" w:cs="Arial"/>
                <w:color w:val="1F497D" w:themeColor="text2"/>
                <w:sz w:val="22"/>
                <w:szCs w:val="22"/>
              </w:rPr>
              <w:fldChar w:fldCharType="end"/>
            </w:r>
          </w:p>
        </w:tc>
      </w:tr>
    </w:tbl>
    <w:p w14:paraId="0B34881E" w14:textId="774B5924" w:rsidR="00EA2144" w:rsidRPr="00096AB9" w:rsidRDefault="008F634B" w:rsidP="00096AB9">
      <w:pPr>
        <w:pStyle w:val="Paragrafoelenco"/>
        <w:numPr>
          <w:ilvl w:val="0"/>
          <w:numId w:val="8"/>
        </w:numPr>
        <w:spacing w:after="120"/>
        <w:jc w:val="both"/>
        <w:outlineLvl w:val="0"/>
        <w:rPr>
          <w:rFonts w:ascii="Arial" w:hAnsi="Arial" w:cs="Arial"/>
          <w:sz w:val="16"/>
          <w:szCs w:val="16"/>
        </w:rPr>
      </w:pPr>
      <w:bookmarkStart w:id="0" w:name="_GoBack"/>
      <w:bookmarkEnd w:id="0"/>
      <w:r w:rsidRPr="00096AB9">
        <w:rPr>
          <w:rFonts w:ascii="Arial" w:hAnsi="Arial" w:cs="Arial"/>
          <w:sz w:val="16"/>
          <w:szCs w:val="16"/>
        </w:rPr>
        <w:t>I dati dell’anno 2021 fanno riferimento a stime provvisorie basate sui primi nove mesi.</w:t>
      </w:r>
      <w:r w:rsidR="00EA2144" w:rsidRPr="00096AB9">
        <w:rPr>
          <w:rFonts w:ascii="Arial" w:hAnsi="Arial" w:cs="Arial"/>
          <w:sz w:val="16"/>
          <w:szCs w:val="16"/>
        </w:rPr>
        <w:br w:type="page"/>
      </w:r>
    </w:p>
    <w:p w14:paraId="426286CF" w14:textId="77777777" w:rsidR="00B0566C" w:rsidRDefault="00B0566C" w:rsidP="0072584B">
      <w:pPr>
        <w:autoSpaceDE w:val="0"/>
        <w:autoSpaceDN w:val="0"/>
        <w:adjustRightInd w:val="0"/>
        <w:spacing w:after="120"/>
        <w:rPr>
          <w:rFonts w:ascii="Arial Narrow" w:hAnsi="Arial Narrow" w:cs="Arial"/>
          <w:color w:val="1F497D" w:themeColor="text2"/>
          <w:sz w:val="22"/>
          <w:szCs w:val="22"/>
        </w:rPr>
      </w:pPr>
    </w:p>
    <w:p w14:paraId="4E6FA8CD" w14:textId="1CCEEBFC" w:rsidR="00235A69" w:rsidRDefault="00E910DB" w:rsidP="00F20A4F">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 xml:space="preserve">La pandemia </w:t>
      </w:r>
      <w:r w:rsidR="00C55622">
        <w:rPr>
          <w:rFonts w:ascii="Arial" w:hAnsi="Arial" w:cs="Arial"/>
          <w:b/>
          <w:color w:val="1F497D" w:themeColor="text2"/>
          <w:sz w:val="26"/>
          <w:szCs w:val="26"/>
        </w:rPr>
        <w:t>incide meno sul</w:t>
      </w:r>
      <w:r w:rsidRPr="00ED5D9C">
        <w:rPr>
          <w:rFonts w:ascii="Arial" w:hAnsi="Arial" w:cs="Arial"/>
          <w:b/>
          <w:color w:val="1F497D" w:themeColor="text2"/>
          <w:sz w:val="26"/>
          <w:szCs w:val="26"/>
        </w:rPr>
        <w:t>l</w:t>
      </w:r>
      <w:r w:rsidR="0078564E">
        <w:rPr>
          <w:rFonts w:ascii="Arial" w:hAnsi="Arial" w:cs="Arial"/>
          <w:b/>
          <w:color w:val="1F497D" w:themeColor="text2"/>
          <w:sz w:val="26"/>
          <w:szCs w:val="26"/>
        </w:rPr>
        <w:t>’instabilità coniugale</w:t>
      </w:r>
    </w:p>
    <w:p w14:paraId="0B7E574F" w14:textId="009E4121" w:rsidR="00C635B6" w:rsidRDefault="00C635B6" w:rsidP="00C76837">
      <w:pPr>
        <w:spacing w:after="120"/>
        <w:jc w:val="both"/>
        <w:outlineLvl w:val="0"/>
        <w:rPr>
          <w:rFonts w:ascii="Arial" w:hAnsi="Arial" w:cs="Arial"/>
          <w:sz w:val="22"/>
          <w:szCs w:val="22"/>
        </w:rPr>
      </w:pPr>
      <w:r w:rsidRPr="00AE7FBC">
        <w:rPr>
          <w:rFonts w:ascii="Arial" w:hAnsi="Arial" w:cs="Arial"/>
          <w:sz w:val="22"/>
          <w:szCs w:val="22"/>
        </w:rPr>
        <w:t xml:space="preserve">Le separazioni legali rappresentano ancora oggi in Italia </w:t>
      </w:r>
      <w:r>
        <w:rPr>
          <w:rFonts w:ascii="Arial" w:hAnsi="Arial" w:cs="Arial"/>
          <w:sz w:val="22"/>
          <w:szCs w:val="22"/>
        </w:rPr>
        <w:t xml:space="preserve">il fenomeno più rappresentativo dell’instabilità coniugale, </w:t>
      </w:r>
      <w:r w:rsidRPr="00AE7FBC">
        <w:rPr>
          <w:rFonts w:ascii="Arial" w:hAnsi="Arial" w:cs="Arial"/>
          <w:sz w:val="22"/>
          <w:szCs w:val="22"/>
        </w:rPr>
        <w:t>considerando che non tutte si convertono in divorzi</w:t>
      </w:r>
      <w:r w:rsidR="007B4899">
        <w:rPr>
          <w:rFonts w:ascii="Arial" w:hAnsi="Arial" w:cs="Arial"/>
          <w:sz w:val="22"/>
          <w:szCs w:val="22"/>
        </w:rPr>
        <w:t>,</w:t>
      </w:r>
      <w:r w:rsidR="003E443A">
        <w:rPr>
          <w:rFonts w:ascii="Arial" w:hAnsi="Arial" w:cs="Arial"/>
          <w:sz w:val="22"/>
          <w:szCs w:val="22"/>
        </w:rPr>
        <w:t xml:space="preserve"> </w:t>
      </w:r>
      <w:r w:rsidR="00E910DB">
        <w:rPr>
          <w:rFonts w:ascii="Arial" w:hAnsi="Arial" w:cs="Arial"/>
          <w:sz w:val="22"/>
          <w:szCs w:val="22"/>
        </w:rPr>
        <w:t>nonostante l</w:t>
      </w:r>
      <w:r w:rsidR="007B4899">
        <w:rPr>
          <w:rFonts w:ascii="Arial" w:hAnsi="Arial" w:cs="Arial"/>
          <w:sz w:val="22"/>
          <w:szCs w:val="22"/>
        </w:rPr>
        <w:t>e</w:t>
      </w:r>
      <w:r w:rsidR="00E910DB">
        <w:rPr>
          <w:rFonts w:ascii="Arial" w:hAnsi="Arial" w:cs="Arial"/>
          <w:sz w:val="22"/>
          <w:szCs w:val="22"/>
        </w:rPr>
        <w:t xml:space="preserve"> semplificazion</w:t>
      </w:r>
      <w:r w:rsidR="007B4899">
        <w:rPr>
          <w:rFonts w:ascii="Arial" w:hAnsi="Arial" w:cs="Arial"/>
          <w:sz w:val="22"/>
          <w:szCs w:val="22"/>
        </w:rPr>
        <w:t>i</w:t>
      </w:r>
      <w:r w:rsidR="00E910DB">
        <w:rPr>
          <w:rFonts w:ascii="Arial" w:hAnsi="Arial" w:cs="Arial"/>
          <w:sz w:val="22"/>
          <w:szCs w:val="22"/>
        </w:rPr>
        <w:t xml:space="preserve"> </w:t>
      </w:r>
      <w:r>
        <w:rPr>
          <w:rFonts w:ascii="Arial" w:hAnsi="Arial" w:cs="Arial"/>
          <w:sz w:val="22"/>
          <w:szCs w:val="22"/>
        </w:rPr>
        <w:t>procedura</w:t>
      </w:r>
      <w:r w:rsidR="00E910DB">
        <w:rPr>
          <w:rFonts w:ascii="Arial" w:hAnsi="Arial" w:cs="Arial"/>
          <w:sz w:val="22"/>
          <w:szCs w:val="22"/>
        </w:rPr>
        <w:t>l</w:t>
      </w:r>
      <w:r w:rsidR="007B4899">
        <w:rPr>
          <w:rFonts w:ascii="Arial" w:hAnsi="Arial" w:cs="Arial"/>
          <w:sz w:val="22"/>
          <w:szCs w:val="22"/>
        </w:rPr>
        <w:t>i</w:t>
      </w:r>
      <w:r w:rsidR="00E910DB">
        <w:rPr>
          <w:rFonts w:ascii="Arial" w:hAnsi="Arial" w:cs="Arial"/>
          <w:sz w:val="22"/>
          <w:szCs w:val="22"/>
        </w:rPr>
        <w:t xml:space="preserve"> </w:t>
      </w:r>
      <w:r w:rsidR="007B4899">
        <w:rPr>
          <w:rFonts w:ascii="Arial" w:hAnsi="Arial" w:cs="Arial"/>
          <w:sz w:val="22"/>
          <w:szCs w:val="22"/>
        </w:rPr>
        <w:t>introdotte</w:t>
      </w:r>
      <w:r w:rsidR="00E910DB">
        <w:rPr>
          <w:rFonts w:ascii="Arial" w:hAnsi="Arial" w:cs="Arial"/>
          <w:sz w:val="22"/>
          <w:szCs w:val="22"/>
        </w:rPr>
        <w:t xml:space="preserve"> </w:t>
      </w:r>
      <w:r w:rsidR="0072584B">
        <w:rPr>
          <w:rFonts w:ascii="Arial" w:hAnsi="Arial" w:cs="Arial"/>
          <w:sz w:val="22"/>
          <w:szCs w:val="22"/>
        </w:rPr>
        <w:t>a partire dal</w:t>
      </w:r>
      <w:r w:rsidR="007B4899">
        <w:rPr>
          <w:rFonts w:ascii="Arial" w:hAnsi="Arial" w:cs="Arial"/>
          <w:sz w:val="22"/>
          <w:szCs w:val="22"/>
        </w:rPr>
        <w:t xml:space="preserve"> 2014</w:t>
      </w:r>
      <w:r>
        <w:rPr>
          <w:rFonts w:ascii="Arial" w:hAnsi="Arial" w:cs="Arial"/>
          <w:sz w:val="22"/>
          <w:szCs w:val="22"/>
        </w:rPr>
        <w:t>.</w:t>
      </w:r>
      <w:r w:rsidR="007B4899">
        <w:rPr>
          <w:rFonts w:ascii="Arial" w:hAnsi="Arial" w:cs="Arial"/>
          <w:sz w:val="22"/>
          <w:szCs w:val="22"/>
        </w:rPr>
        <w:t xml:space="preserve"> </w:t>
      </w:r>
    </w:p>
    <w:p w14:paraId="2CAB9538" w14:textId="485EDF2E" w:rsidR="00235A69" w:rsidRDefault="007B4899" w:rsidP="00C76837">
      <w:pPr>
        <w:spacing w:after="120"/>
        <w:jc w:val="both"/>
        <w:outlineLvl w:val="0"/>
        <w:rPr>
          <w:rFonts w:ascii="Arial" w:hAnsi="Arial" w:cs="Arial"/>
          <w:sz w:val="22"/>
          <w:szCs w:val="22"/>
        </w:rPr>
      </w:pPr>
      <w:r>
        <w:rPr>
          <w:rFonts w:ascii="Arial" w:hAnsi="Arial" w:cs="Arial"/>
          <w:sz w:val="22"/>
          <w:szCs w:val="22"/>
        </w:rPr>
        <w:t xml:space="preserve">Per i </w:t>
      </w:r>
      <w:r w:rsidR="00235A69" w:rsidRPr="00E40818">
        <w:rPr>
          <w:rFonts w:ascii="Arial" w:hAnsi="Arial" w:cs="Arial"/>
          <w:sz w:val="22"/>
          <w:szCs w:val="22"/>
        </w:rPr>
        <w:t xml:space="preserve">divorzi </w:t>
      </w:r>
      <w:r>
        <w:rPr>
          <w:rFonts w:ascii="Arial" w:hAnsi="Arial" w:cs="Arial"/>
          <w:sz w:val="22"/>
          <w:szCs w:val="22"/>
        </w:rPr>
        <w:t xml:space="preserve">il trend </w:t>
      </w:r>
      <w:r w:rsidR="00235A69" w:rsidRPr="00E40818">
        <w:rPr>
          <w:rFonts w:ascii="Arial" w:hAnsi="Arial" w:cs="Arial"/>
          <w:sz w:val="22"/>
          <w:szCs w:val="22"/>
        </w:rPr>
        <w:t xml:space="preserve">è stato </w:t>
      </w:r>
      <w:r>
        <w:rPr>
          <w:rFonts w:ascii="Arial" w:hAnsi="Arial" w:cs="Arial"/>
          <w:sz w:val="22"/>
          <w:szCs w:val="22"/>
        </w:rPr>
        <w:t>sempre crescente</w:t>
      </w:r>
      <w:r w:rsidR="00235A69" w:rsidRPr="00E40818">
        <w:rPr>
          <w:rFonts w:ascii="Arial" w:hAnsi="Arial" w:cs="Arial"/>
          <w:sz w:val="22"/>
          <w:szCs w:val="22"/>
        </w:rPr>
        <w:t xml:space="preserve"> dal</w:t>
      </w:r>
      <w:r w:rsidR="00235A69">
        <w:rPr>
          <w:rFonts w:ascii="Arial" w:hAnsi="Arial" w:cs="Arial"/>
          <w:sz w:val="22"/>
          <w:szCs w:val="22"/>
        </w:rPr>
        <w:t xml:space="preserve"> 1970 (anno </w:t>
      </w:r>
      <w:r w:rsidR="00E910DB">
        <w:rPr>
          <w:rFonts w:ascii="Arial" w:hAnsi="Arial" w:cs="Arial"/>
          <w:sz w:val="22"/>
          <w:szCs w:val="22"/>
        </w:rPr>
        <w:t>di introduzione del</w:t>
      </w:r>
      <w:r w:rsidR="00235A69">
        <w:rPr>
          <w:rFonts w:ascii="Arial" w:hAnsi="Arial" w:cs="Arial"/>
          <w:sz w:val="22"/>
          <w:szCs w:val="22"/>
        </w:rPr>
        <w:t xml:space="preserve"> divorzio nell’ordinamento italiano)</w:t>
      </w:r>
      <w:r w:rsidR="00235A69" w:rsidRPr="00E40818">
        <w:rPr>
          <w:rFonts w:ascii="Arial" w:hAnsi="Arial" w:cs="Arial"/>
          <w:sz w:val="22"/>
          <w:szCs w:val="22"/>
        </w:rPr>
        <w:t xml:space="preserve"> fino alla metà del decennio scorso</w:t>
      </w:r>
      <w:r w:rsidR="00235A69">
        <w:rPr>
          <w:rFonts w:ascii="Arial" w:hAnsi="Arial" w:cs="Arial"/>
          <w:sz w:val="22"/>
          <w:szCs w:val="22"/>
        </w:rPr>
        <w:t xml:space="preserve">. </w:t>
      </w:r>
      <w:r w:rsidR="003E443A">
        <w:rPr>
          <w:rFonts w:ascii="Arial" w:hAnsi="Arial" w:cs="Arial"/>
          <w:sz w:val="22"/>
          <w:szCs w:val="22"/>
        </w:rPr>
        <w:t>Nel</w:t>
      </w:r>
      <w:r w:rsidR="00235A69" w:rsidRPr="00E40818">
        <w:rPr>
          <w:rFonts w:ascii="Arial" w:hAnsi="Arial" w:cs="Arial"/>
          <w:sz w:val="22"/>
          <w:szCs w:val="22"/>
        </w:rPr>
        <w:t xml:space="preserve"> 2015 il numero di divorzi ha subito una forte impennata </w:t>
      </w:r>
      <w:r w:rsidR="00235A69" w:rsidRPr="00433578">
        <w:rPr>
          <w:rFonts w:ascii="Arial" w:hAnsi="Arial" w:cs="Arial"/>
          <w:sz w:val="22"/>
          <w:szCs w:val="22"/>
        </w:rPr>
        <w:t>(+57</w:t>
      </w:r>
      <w:r w:rsidR="00235A69">
        <w:rPr>
          <w:rFonts w:ascii="Arial" w:hAnsi="Arial" w:cs="Arial"/>
          <w:sz w:val="22"/>
          <w:szCs w:val="22"/>
        </w:rPr>
        <w:t>,5</w:t>
      </w:r>
      <w:r w:rsidR="00235A69" w:rsidRPr="00433578">
        <w:rPr>
          <w:rFonts w:ascii="Arial" w:hAnsi="Arial" w:cs="Arial"/>
          <w:sz w:val="22"/>
          <w:szCs w:val="22"/>
        </w:rPr>
        <w:t xml:space="preserve">% </w:t>
      </w:r>
      <w:r w:rsidR="00E910DB">
        <w:rPr>
          <w:rFonts w:ascii="Arial" w:hAnsi="Arial" w:cs="Arial"/>
          <w:sz w:val="22"/>
          <w:szCs w:val="22"/>
        </w:rPr>
        <w:t xml:space="preserve">in un </w:t>
      </w:r>
      <w:r w:rsidR="003E443A">
        <w:rPr>
          <w:rFonts w:ascii="Arial" w:hAnsi="Arial" w:cs="Arial"/>
          <w:sz w:val="22"/>
          <w:szCs w:val="22"/>
        </w:rPr>
        <w:t>solo anno</w:t>
      </w:r>
      <w:r w:rsidR="00235A69" w:rsidRPr="00C462FA">
        <w:rPr>
          <w:rFonts w:ascii="Arial" w:hAnsi="Arial" w:cs="Arial"/>
          <w:sz w:val="22"/>
          <w:szCs w:val="22"/>
        </w:rPr>
        <w:t>)</w:t>
      </w:r>
      <w:r w:rsidR="00235A69">
        <w:rPr>
          <w:rFonts w:ascii="Arial" w:hAnsi="Arial" w:cs="Arial"/>
          <w:sz w:val="22"/>
          <w:szCs w:val="22"/>
        </w:rPr>
        <w:t xml:space="preserve"> a seguito</w:t>
      </w:r>
      <w:r w:rsidR="00235A69" w:rsidRPr="00E40818">
        <w:rPr>
          <w:rFonts w:ascii="Arial" w:hAnsi="Arial" w:cs="Arial"/>
          <w:sz w:val="22"/>
          <w:szCs w:val="22"/>
        </w:rPr>
        <w:t xml:space="preserve"> </w:t>
      </w:r>
      <w:r w:rsidR="00235A69">
        <w:rPr>
          <w:rFonts w:ascii="Arial" w:hAnsi="Arial" w:cs="Arial"/>
          <w:sz w:val="22"/>
          <w:szCs w:val="22"/>
        </w:rPr>
        <w:t>del</w:t>
      </w:r>
      <w:r w:rsidR="00235A69" w:rsidRPr="00E40818">
        <w:rPr>
          <w:rFonts w:ascii="Arial" w:hAnsi="Arial" w:cs="Arial"/>
          <w:sz w:val="22"/>
          <w:szCs w:val="22"/>
        </w:rPr>
        <w:t xml:space="preserve">l'entrata in vigore di due </w:t>
      </w:r>
      <w:r w:rsidR="00E910DB" w:rsidRPr="00E40818">
        <w:rPr>
          <w:rFonts w:ascii="Arial" w:hAnsi="Arial" w:cs="Arial"/>
          <w:sz w:val="22"/>
          <w:szCs w:val="22"/>
        </w:rPr>
        <w:t xml:space="preserve">importanti </w:t>
      </w:r>
      <w:r w:rsidR="00235A69" w:rsidRPr="00E40818">
        <w:rPr>
          <w:rFonts w:ascii="Arial" w:hAnsi="Arial" w:cs="Arial"/>
          <w:sz w:val="22"/>
          <w:szCs w:val="22"/>
        </w:rPr>
        <w:t>leggi</w:t>
      </w:r>
      <w:r w:rsidR="0058458E">
        <w:rPr>
          <w:rStyle w:val="Rimandonotadichiusura"/>
          <w:rFonts w:ascii="Arial" w:hAnsi="Arial" w:cs="Arial"/>
          <w:sz w:val="22"/>
          <w:szCs w:val="22"/>
        </w:rPr>
        <w:endnoteReference w:id="10"/>
      </w:r>
      <w:r w:rsidR="00235A69" w:rsidRPr="00E40818">
        <w:rPr>
          <w:rFonts w:ascii="Arial" w:hAnsi="Arial" w:cs="Arial"/>
          <w:sz w:val="22"/>
          <w:szCs w:val="22"/>
        </w:rPr>
        <w:t xml:space="preserve"> che hanno modific</w:t>
      </w:r>
      <w:r w:rsidR="00E910DB">
        <w:rPr>
          <w:rFonts w:ascii="Arial" w:hAnsi="Arial" w:cs="Arial"/>
          <w:sz w:val="22"/>
          <w:szCs w:val="22"/>
        </w:rPr>
        <w:t xml:space="preserve">ato </w:t>
      </w:r>
      <w:r w:rsidR="00235A69" w:rsidRPr="00E40818">
        <w:rPr>
          <w:rFonts w:ascii="Arial" w:hAnsi="Arial" w:cs="Arial"/>
          <w:sz w:val="22"/>
          <w:szCs w:val="22"/>
        </w:rPr>
        <w:t xml:space="preserve">la disciplina dello scioglimento e della cessazione degli effetti civili del matrimonio. </w:t>
      </w:r>
      <w:r w:rsidR="00235A69" w:rsidRPr="006527FF">
        <w:rPr>
          <w:rFonts w:ascii="Arial" w:hAnsi="Arial" w:cs="Arial"/>
          <w:sz w:val="22"/>
          <w:szCs w:val="22"/>
        </w:rPr>
        <w:t>Si tratta del Decreto legge 132/2014</w:t>
      </w:r>
      <w:r w:rsidR="00E910DB">
        <w:rPr>
          <w:rFonts w:ascii="Arial" w:hAnsi="Arial" w:cs="Arial"/>
          <w:sz w:val="22"/>
          <w:szCs w:val="22"/>
        </w:rPr>
        <w:t>,</w:t>
      </w:r>
      <w:r w:rsidR="008078E7">
        <w:rPr>
          <w:rFonts w:ascii="Arial" w:hAnsi="Arial" w:cs="Arial"/>
          <w:sz w:val="22"/>
          <w:szCs w:val="22"/>
        </w:rPr>
        <w:t xml:space="preserve"> che ha</w:t>
      </w:r>
      <w:r w:rsidR="00235A69" w:rsidRPr="006527FF">
        <w:rPr>
          <w:rFonts w:ascii="Arial" w:hAnsi="Arial" w:cs="Arial"/>
          <w:sz w:val="22"/>
          <w:szCs w:val="22"/>
        </w:rPr>
        <w:t xml:space="preserve"> introdotto le procedure consensuali </w:t>
      </w:r>
      <w:r w:rsidR="008078E7">
        <w:rPr>
          <w:rFonts w:ascii="Arial" w:hAnsi="Arial" w:cs="Arial"/>
          <w:sz w:val="22"/>
          <w:szCs w:val="22"/>
        </w:rPr>
        <w:t xml:space="preserve">extragiudiziali (quindi presso gli Uffici di Stato Civile o tramite negoziazioni assistite da avvocati </w:t>
      </w:r>
      <w:r w:rsidR="00235A69" w:rsidRPr="006527FF">
        <w:rPr>
          <w:rFonts w:ascii="Arial" w:hAnsi="Arial" w:cs="Arial"/>
          <w:sz w:val="22"/>
          <w:szCs w:val="22"/>
        </w:rPr>
        <w:t xml:space="preserve">senza </w:t>
      </w:r>
      <w:r w:rsidR="008078E7">
        <w:rPr>
          <w:rFonts w:ascii="Arial" w:hAnsi="Arial" w:cs="Arial"/>
          <w:sz w:val="22"/>
          <w:szCs w:val="22"/>
        </w:rPr>
        <w:t xml:space="preserve">più </w:t>
      </w:r>
      <w:r w:rsidR="00E910DB">
        <w:rPr>
          <w:rFonts w:ascii="Arial" w:hAnsi="Arial" w:cs="Arial"/>
          <w:sz w:val="22"/>
          <w:szCs w:val="22"/>
        </w:rPr>
        <w:t xml:space="preserve">il ricorso </w:t>
      </w:r>
      <w:r w:rsidR="00235A69" w:rsidRPr="006527FF">
        <w:rPr>
          <w:rFonts w:ascii="Arial" w:hAnsi="Arial" w:cs="Arial"/>
          <w:sz w:val="22"/>
          <w:szCs w:val="22"/>
        </w:rPr>
        <w:t>ai Tribunali</w:t>
      </w:r>
      <w:r w:rsidR="007623EC">
        <w:rPr>
          <w:rFonts w:ascii="Arial" w:hAnsi="Arial" w:cs="Arial"/>
          <w:sz w:val="22"/>
          <w:szCs w:val="22"/>
        </w:rPr>
        <w:t>)</w:t>
      </w:r>
      <w:r w:rsidR="00E910DB">
        <w:rPr>
          <w:rFonts w:ascii="Arial" w:hAnsi="Arial" w:cs="Arial"/>
          <w:sz w:val="22"/>
          <w:szCs w:val="22"/>
        </w:rPr>
        <w:t xml:space="preserve"> e</w:t>
      </w:r>
      <w:r w:rsidR="007623EC">
        <w:rPr>
          <w:rFonts w:ascii="Arial" w:hAnsi="Arial" w:cs="Arial"/>
          <w:sz w:val="22"/>
          <w:szCs w:val="22"/>
        </w:rPr>
        <w:t xml:space="preserve"> </w:t>
      </w:r>
      <w:r w:rsidR="008078E7">
        <w:rPr>
          <w:rFonts w:ascii="Arial" w:hAnsi="Arial" w:cs="Arial"/>
          <w:sz w:val="22"/>
          <w:szCs w:val="22"/>
        </w:rPr>
        <w:t>d</w:t>
      </w:r>
      <w:r w:rsidR="00E910DB">
        <w:rPr>
          <w:rFonts w:ascii="Arial" w:hAnsi="Arial" w:cs="Arial"/>
          <w:sz w:val="22"/>
          <w:szCs w:val="22"/>
        </w:rPr>
        <w:t>e</w:t>
      </w:r>
      <w:r w:rsidR="008078E7">
        <w:rPr>
          <w:rFonts w:ascii="Arial" w:hAnsi="Arial" w:cs="Arial"/>
          <w:sz w:val="22"/>
          <w:szCs w:val="22"/>
        </w:rPr>
        <w:t>lla</w:t>
      </w:r>
      <w:r w:rsidR="00235A69" w:rsidRPr="006527FF">
        <w:rPr>
          <w:rFonts w:ascii="Arial" w:hAnsi="Arial" w:cs="Arial"/>
          <w:sz w:val="22"/>
          <w:szCs w:val="22"/>
        </w:rPr>
        <w:t xml:space="preserve"> Legge 55/2015 (c.d. Divorzio breve) che ha fortemente ridotto l’intervallo tra separazione e divorzio (dodici mesi per le separazioni giudiziali e sei mesi per quelle consensuali).</w:t>
      </w:r>
      <w:r w:rsidR="00235A69">
        <w:rPr>
          <w:rFonts w:ascii="Arial" w:hAnsi="Arial" w:cs="Arial"/>
          <w:sz w:val="22"/>
          <w:szCs w:val="22"/>
        </w:rPr>
        <w:t xml:space="preserve"> </w:t>
      </w:r>
    </w:p>
    <w:p w14:paraId="5A74AAA5" w14:textId="221FD1E1" w:rsidR="001567B2" w:rsidRDefault="00C635B6" w:rsidP="00C76837">
      <w:pPr>
        <w:spacing w:after="120"/>
        <w:jc w:val="both"/>
        <w:outlineLvl w:val="0"/>
        <w:rPr>
          <w:rFonts w:ascii="Arial" w:hAnsi="Arial" w:cs="Arial"/>
          <w:sz w:val="22"/>
          <w:szCs w:val="22"/>
        </w:rPr>
      </w:pPr>
      <w:r>
        <w:rPr>
          <w:rFonts w:ascii="Arial" w:hAnsi="Arial" w:cs="Arial"/>
          <w:sz w:val="22"/>
          <w:szCs w:val="22"/>
        </w:rPr>
        <w:t>La</w:t>
      </w:r>
      <w:r w:rsidRPr="00AE7FBC">
        <w:rPr>
          <w:rFonts w:ascii="Arial" w:hAnsi="Arial" w:cs="Arial"/>
          <w:sz w:val="22"/>
          <w:szCs w:val="22"/>
        </w:rPr>
        <w:t xml:space="preserve"> procedura che si perfeziona direttamente presso gli </w:t>
      </w:r>
      <w:r>
        <w:rPr>
          <w:rFonts w:ascii="Arial" w:hAnsi="Arial" w:cs="Arial"/>
          <w:sz w:val="22"/>
          <w:szCs w:val="22"/>
        </w:rPr>
        <w:t>U</w:t>
      </w:r>
      <w:r w:rsidRPr="00AE7FBC">
        <w:rPr>
          <w:rFonts w:ascii="Arial" w:hAnsi="Arial" w:cs="Arial"/>
          <w:sz w:val="22"/>
          <w:szCs w:val="22"/>
        </w:rPr>
        <w:t>ffi</w:t>
      </w:r>
      <w:r>
        <w:rPr>
          <w:rFonts w:ascii="Arial" w:hAnsi="Arial" w:cs="Arial"/>
          <w:sz w:val="22"/>
          <w:szCs w:val="22"/>
        </w:rPr>
        <w:t xml:space="preserve">ci di Stato Civile (ex art.12), introdotta </w:t>
      </w:r>
      <w:r w:rsidR="009670D5">
        <w:rPr>
          <w:rFonts w:ascii="Arial" w:hAnsi="Arial" w:cs="Arial"/>
          <w:sz w:val="22"/>
          <w:szCs w:val="22"/>
        </w:rPr>
        <w:t>dal D.</w:t>
      </w:r>
      <w:r w:rsidR="00E910DB">
        <w:rPr>
          <w:rFonts w:ascii="Arial" w:hAnsi="Arial" w:cs="Arial"/>
          <w:sz w:val="22"/>
          <w:szCs w:val="22"/>
        </w:rPr>
        <w:t>l</w:t>
      </w:r>
      <w:r w:rsidR="00F24414">
        <w:rPr>
          <w:rFonts w:ascii="Arial" w:hAnsi="Arial" w:cs="Arial"/>
          <w:sz w:val="22"/>
          <w:szCs w:val="22"/>
        </w:rPr>
        <w:t>.132</w:t>
      </w:r>
      <w:r w:rsidRPr="00690299">
        <w:rPr>
          <w:rFonts w:ascii="Arial" w:hAnsi="Arial" w:cs="Arial"/>
          <w:sz w:val="22"/>
          <w:szCs w:val="22"/>
        </w:rPr>
        <w:t>/2014</w:t>
      </w:r>
      <w:r>
        <w:rPr>
          <w:rFonts w:ascii="Arial" w:hAnsi="Arial" w:cs="Arial"/>
          <w:sz w:val="22"/>
          <w:szCs w:val="22"/>
        </w:rPr>
        <w:t>, è</w:t>
      </w:r>
      <w:r w:rsidRPr="00AE7FBC">
        <w:rPr>
          <w:rFonts w:ascii="Arial" w:hAnsi="Arial" w:cs="Arial"/>
          <w:sz w:val="22"/>
          <w:szCs w:val="22"/>
        </w:rPr>
        <w:t xml:space="preserve"> preclusa in caso di presenza di figli minori o anche m</w:t>
      </w:r>
      <w:r>
        <w:rPr>
          <w:rFonts w:ascii="Arial" w:hAnsi="Arial" w:cs="Arial"/>
          <w:sz w:val="22"/>
          <w:szCs w:val="22"/>
        </w:rPr>
        <w:t xml:space="preserve">aggiorenni </w:t>
      </w:r>
      <w:r w:rsidR="00873899">
        <w:rPr>
          <w:rFonts w:ascii="Arial" w:hAnsi="Arial" w:cs="Arial"/>
          <w:sz w:val="22"/>
          <w:szCs w:val="22"/>
        </w:rPr>
        <w:t xml:space="preserve">economicamente </w:t>
      </w:r>
      <w:r>
        <w:rPr>
          <w:rFonts w:ascii="Arial" w:hAnsi="Arial" w:cs="Arial"/>
          <w:sz w:val="22"/>
          <w:szCs w:val="22"/>
        </w:rPr>
        <w:t xml:space="preserve">non autosufficienti. </w:t>
      </w:r>
      <w:r w:rsidR="00E910DB">
        <w:rPr>
          <w:rFonts w:ascii="Arial" w:hAnsi="Arial" w:cs="Arial"/>
          <w:sz w:val="22"/>
          <w:szCs w:val="22"/>
        </w:rPr>
        <w:t>E</w:t>
      </w:r>
      <w:r w:rsidR="00F44594" w:rsidRPr="00AE7FBC">
        <w:rPr>
          <w:rFonts w:ascii="Arial" w:hAnsi="Arial" w:cs="Arial"/>
          <w:sz w:val="22"/>
          <w:szCs w:val="22"/>
        </w:rPr>
        <w:t xml:space="preserve">ssendo </w:t>
      </w:r>
      <w:r w:rsidR="00E53335">
        <w:rPr>
          <w:rFonts w:ascii="Arial" w:hAnsi="Arial" w:cs="Arial"/>
          <w:sz w:val="22"/>
          <w:szCs w:val="22"/>
        </w:rPr>
        <w:t xml:space="preserve">i </w:t>
      </w:r>
      <w:r w:rsidR="00A1284A" w:rsidRPr="00AE7FBC">
        <w:rPr>
          <w:rFonts w:ascii="Arial" w:hAnsi="Arial" w:cs="Arial"/>
          <w:sz w:val="22"/>
          <w:szCs w:val="22"/>
        </w:rPr>
        <w:t xml:space="preserve">figli minori </w:t>
      </w:r>
      <w:r w:rsidR="00E910DB">
        <w:rPr>
          <w:rFonts w:ascii="Arial" w:hAnsi="Arial" w:cs="Arial"/>
          <w:sz w:val="22"/>
          <w:szCs w:val="22"/>
        </w:rPr>
        <w:t>più</w:t>
      </w:r>
      <w:r w:rsidR="00E910DB" w:rsidRPr="00AE7FBC">
        <w:rPr>
          <w:rFonts w:ascii="Arial" w:hAnsi="Arial" w:cs="Arial"/>
          <w:sz w:val="22"/>
          <w:szCs w:val="22"/>
        </w:rPr>
        <w:t xml:space="preserve"> coinvolti </w:t>
      </w:r>
      <w:r w:rsidR="00F44594" w:rsidRPr="00AE7FBC">
        <w:rPr>
          <w:rFonts w:ascii="Arial" w:hAnsi="Arial" w:cs="Arial"/>
          <w:sz w:val="22"/>
          <w:szCs w:val="22"/>
        </w:rPr>
        <w:t xml:space="preserve">nelle separazioni rispetto ai divorzi </w:t>
      </w:r>
      <w:r w:rsidR="00A1284A">
        <w:rPr>
          <w:rFonts w:ascii="Arial" w:hAnsi="Arial" w:cs="Arial"/>
          <w:sz w:val="22"/>
          <w:szCs w:val="22"/>
        </w:rPr>
        <w:t xml:space="preserve">per via della struttura per </w:t>
      </w:r>
      <w:r w:rsidR="00C61F05">
        <w:rPr>
          <w:rFonts w:ascii="Arial" w:hAnsi="Arial" w:cs="Arial"/>
          <w:sz w:val="22"/>
          <w:szCs w:val="22"/>
        </w:rPr>
        <w:t xml:space="preserve">età più giovane di chi si separa, il ricorso alla procedura ex art. 12 </w:t>
      </w:r>
      <w:r w:rsidR="00E910DB">
        <w:rPr>
          <w:rFonts w:ascii="Arial" w:hAnsi="Arial" w:cs="Arial"/>
          <w:sz w:val="22"/>
          <w:szCs w:val="22"/>
        </w:rPr>
        <w:t>è più frequente</w:t>
      </w:r>
      <w:r w:rsidR="00C61F05">
        <w:rPr>
          <w:rFonts w:ascii="Arial" w:hAnsi="Arial" w:cs="Arial"/>
          <w:sz w:val="22"/>
          <w:szCs w:val="22"/>
        </w:rPr>
        <w:t xml:space="preserve"> nei divorzi</w:t>
      </w:r>
      <w:r w:rsidR="00F44594" w:rsidRPr="00AE7FBC">
        <w:rPr>
          <w:rFonts w:ascii="Arial" w:hAnsi="Arial" w:cs="Arial"/>
          <w:sz w:val="22"/>
          <w:szCs w:val="22"/>
        </w:rPr>
        <w:t xml:space="preserve">. </w:t>
      </w:r>
      <w:r w:rsidR="00E53335">
        <w:rPr>
          <w:rFonts w:ascii="Arial" w:hAnsi="Arial" w:cs="Arial"/>
          <w:sz w:val="22"/>
          <w:szCs w:val="22"/>
        </w:rPr>
        <w:t>Ma</w:t>
      </w:r>
      <w:r w:rsidR="00C61F05">
        <w:rPr>
          <w:rFonts w:ascii="Arial" w:hAnsi="Arial" w:cs="Arial"/>
          <w:sz w:val="22"/>
          <w:szCs w:val="22"/>
        </w:rPr>
        <w:t xml:space="preserve"> il vero boom è stato determinato dalla Legge </w:t>
      </w:r>
      <w:r w:rsidR="00873899">
        <w:rPr>
          <w:rFonts w:ascii="Arial" w:hAnsi="Arial" w:cs="Arial"/>
          <w:sz w:val="22"/>
          <w:szCs w:val="22"/>
        </w:rPr>
        <w:t>s</w:t>
      </w:r>
      <w:r w:rsidR="00C61F05">
        <w:rPr>
          <w:rFonts w:ascii="Arial" w:hAnsi="Arial" w:cs="Arial"/>
          <w:sz w:val="22"/>
          <w:szCs w:val="22"/>
        </w:rPr>
        <w:t>ul “Divorzio breve</w:t>
      </w:r>
      <w:r w:rsidR="00C61F05" w:rsidRPr="004C7647">
        <w:rPr>
          <w:rFonts w:ascii="Arial" w:hAnsi="Arial" w:cs="Arial"/>
          <w:sz w:val="22"/>
          <w:szCs w:val="22"/>
        </w:rPr>
        <w:t>”</w:t>
      </w:r>
      <w:r w:rsidR="00AD5418" w:rsidRPr="004C7647">
        <w:rPr>
          <w:rFonts w:ascii="Arial" w:hAnsi="Arial" w:cs="Arial"/>
          <w:sz w:val="22"/>
          <w:szCs w:val="22"/>
        </w:rPr>
        <w:t xml:space="preserve"> (Figura </w:t>
      </w:r>
      <w:r w:rsidR="004C7647" w:rsidRPr="004C7647">
        <w:rPr>
          <w:rFonts w:ascii="Arial" w:hAnsi="Arial" w:cs="Arial"/>
          <w:sz w:val="22"/>
          <w:szCs w:val="22"/>
        </w:rPr>
        <w:t>7</w:t>
      </w:r>
      <w:r w:rsidR="00AD5418" w:rsidRPr="004C7647">
        <w:rPr>
          <w:rFonts w:ascii="Arial" w:hAnsi="Arial" w:cs="Arial"/>
          <w:sz w:val="22"/>
          <w:szCs w:val="22"/>
        </w:rPr>
        <w:t>)</w:t>
      </w:r>
      <w:r w:rsidR="00C61F05" w:rsidRPr="004C7647">
        <w:rPr>
          <w:rFonts w:ascii="Arial" w:hAnsi="Arial" w:cs="Arial"/>
          <w:sz w:val="22"/>
          <w:szCs w:val="22"/>
        </w:rPr>
        <w:t>.</w:t>
      </w:r>
      <w:r w:rsidR="00E910DB">
        <w:rPr>
          <w:rFonts w:ascii="Arial" w:hAnsi="Arial" w:cs="Arial"/>
          <w:sz w:val="22"/>
          <w:szCs w:val="22"/>
        </w:rPr>
        <w:t xml:space="preserve"> </w:t>
      </w:r>
    </w:p>
    <w:p w14:paraId="63FF0786" w14:textId="71709648" w:rsidR="008A0A1A" w:rsidRDefault="00060683" w:rsidP="00C76837">
      <w:pPr>
        <w:spacing w:after="120"/>
        <w:jc w:val="both"/>
        <w:outlineLvl w:val="0"/>
        <w:rPr>
          <w:rFonts w:ascii="Arial" w:hAnsi="Arial" w:cs="Arial"/>
          <w:sz w:val="22"/>
          <w:szCs w:val="22"/>
        </w:rPr>
      </w:pPr>
      <w:r>
        <w:rPr>
          <w:rFonts w:ascii="Arial" w:hAnsi="Arial" w:cs="Arial"/>
          <w:sz w:val="22"/>
          <w:szCs w:val="22"/>
        </w:rPr>
        <w:t>Entrambi i</w:t>
      </w:r>
      <w:r w:rsidR="008A0A1A">
        <w:rPr>
          <w:rFonts w:ascii="Arial" w:hAnsi="Arial" w:cs="Arial"/>
          <w:sz w:val="22"/>
          <w:szCs w:val="22"/>
        </w:rPr>
        <w:t xml:space="preserve"> provvedimenti,</w:t>
      </w:r>
      <w:r w:rsidR="008A0A1A" w:rsidRPr="00AA3941">
        <w:rPr>
          <w:rFonts w:ascii="Arial" w:hAnsi="Arial" w:cs="Arial"/>
          <w:sz w:val="22"/>
          <w:szCs w:val="22"/>
        </w:rPr>
        <w:t xml:space="preserve"> </w:t>
      </w:r>
      <w:r w:rsidR="008A0A1A">
        <w:rPr>
          <w:rFonts w:ascii="Arial" w:hAnsi="Arial" w:cs="Arial"/>
          <w:sz w:val="22"/>
          <w:szCs w:val="22"/>
        </w:rPr>
        <w:t>oltre all’effetto diretto sull’aumento delle separazioni e soprattutto dei divorzi, ha</w:t>
      </w:r>
      <w:r>
        <w:rPr>
          <w:rFonts w:ascii="Arial" w:hAnsi="Arial" w:cs="Arial"/>
          <w:sz w:val="22"/>
          <w:szCs w:val="22"/>
        </w:rPr>
        <w:t>nno</w:t>
      </w:r>
      <w:r w:rsidR="008A0A1A">
        <w:rPr>
          <w:rFonts w:ascii="Arial" w:hAnsi="Arial" w:cs="Arial"/>
          <w:sz w:val="22"/>
          <w:szCs w:val="22"/>
        </w:rPr>
        <w:t xml:space="preserve"> innescato indirettamente una crescita delle seconde nozze, </w:t>
      </w:r>
      <w:r w:rsidR="008A0A1A" w:rsidRPr="00E260B1">
        <w:rPr>
          <w:rFonts w:ascii="Arial" w:hAnsi="Arial" w:cs="Arial"/>
          <w:sz w:val="22"/>
          <w:szCs w:val="22"/>
        </w:rPr>
        <w:t>in particolare</w:t>
      </w:r>
      <w:r w:rsidR="008A0A1A">
        <w:rPr>
          <w:rFonts w:ascii="Arial" w:hAnsi="Arial" w:cs="Arial"/>
          <w:sz w:val="22"/>
          <w:szCs w:val="22"/>
        </w:rPr>
        <w:t xml:space="preserve"> nel</w:t>
      </w:r>
      <w:r w:rsidR="008A0A1A" w:rsidRPr="00AA3941">
        <w:rPr>
          <w:rFonts w:ascii="Arial" w:hAnsi="Arial" w:cs="Arial"/>
          <w:sz w:val="22"/>
          <w:szCs w:val="22"/>
        </w:rPr>
        <w:t xml:space="preserve"> biennio 2015-2016</w:t>
      </w:r>
      <w:r w:rsidR="008A0A1A">
        <w:rPr>
          <w:rFonts w:ascii="Arial" w:hAnsi="Arial" w:cs="Arial"/>
          <w:sz w:val="22"/>
          <w:szCs w:val="22"/>
        </w:rPr>
        <w:t>.</w:t>
      </w:r>
      <w:r w:rsidR="008A0A1A" w:rsidRPr="00F44594">
        <w:rPr>
          <w:rFonts w:ascii="Arial" w:hAnsi="Arial" w:cs="Arial"/>
          <w:sz w:val="22"/>
          <w:szCs w:val="22"/>
        </w:rPr>
        <w:t xml:space="preserve"> </w:t>
      </w:r>
    </w:p>
    <w:p w14:paraId="322F4CFF" w14:textId="4B5BC06C" w:rsidR="00AD5418" w:rsidRDefault="006276D4" w:rsidP="00C76837">
      <w:pPr>
        <w:spacing w:after="120"/>
        <w:jc w:val="both"/>
        <w:outlineLvl w:val="0"/>
        <w:rPr>
          <w:rFonts w:ascii="Arial" w:hAnsi="Arial" w:cs="Arial"/>
          <w:sz w:val="22"/>
          <w:szCs w:val="22"/>
        </w:rPr>
      </w:pPr>
      <w:r>
        <w:rPr>
          <w:rFonts w:ascii="Arial" w:hAnsi="Arial" w:cs="Arial"/>
          <w:sz w:val="22"/>
          <w:szCs w:val="22"/>
        </w:rPr>
        <w:t xml:space="preserve">La pandemia ha avuto impatto </w:t>
      </w:r>
      <w:r w:rsidR="00F44594" w:rsidRPr="00F44594">
        <w:rPr>
          <w:rFonts w:ascii="Arial" w:hAnsi="Arial" w:cs="Arial"/>
          <w:sz w:val="22"/>
          <w:szCs w:val="22"/>
        </w:rPr>
        <w:t>anche sull'andam</w:t>
      </w:r>
      <w:r w:rsidR="00F44594">
        <w:rPr>
          <w:rFonts w:ascii="Arial" w:hAnsi="Arial" w:cs="Arial"/>
          <w:sz w:val="22"/>
          <w:szCs w:val="22"/>
        </w:rPr>
        <w:t>ento dell'instabilità coniugale, soprattu</w:t>
      </w:r>
      <w:r w:rsidR="00F23A05">
        <w:rPr>
          <w:rFonts w:ascii="Arial" w:hAnsi="Arial" w:cs="Arial"/>
          <w:sz w:val="22"/>
          <w:szCs w:val="22"/>
        </w:rPr>
        <w:t>t</w:t>
      </w:r>
      <w:r w:rsidR="00F44594">
        <w:rPr>
          <w:rFonts w:ascii="Arial" w:hAnsi="Arial" w:cs="Arial"/>
          <w:sz w:val="22"/>
          <w:szCs w:val="22"/>
        </w:rPr>
        <w:t xml:space="preserve">to nel periodo </w:t>
      </w:r>
      <w:r w:rsidR="00AD5418">
        <w:rPr>
          <w:rFonts w:ascii="Arial" w:hAnsi="Arial" w:cs="Arial"/>
          <w:sz w:val="22"/>
          <w:szCs w:val="22"/>
        </w:rPr>
        <w:t xml:space="preserve">delle chiusure degli uffici e delle restrizioni alla mobilità; </w:t>
      </w:r>
      <w:r>
        <w:rPr>
          <w:rFonts w:ascii="Arial" w:hAnsi="Arial" w:cs="Arial"/>
          <w:sz w:val="22"/>
          <w:szCs w:val="22"/>
        </w:rPr>
        <w:t>in particolare,</w:t>
      </w:r>
      <w:r w:rsidR="00AD5418">
        <w:rPr>
          <w:rFonts w:ascii="Arial" w:hAnsi="Arial" w:cs="Arial"/>
          <w:sz w:val="22"/>
          <w:szCs w:val="22"/>
        </w:rPr>
        <w:t xml:space="preserve"> nel caso dei provvedimenti presso i Tribunali, la conclusione dei procedimenti del 2020 ha riguardato separazioni e divorzi iniziati negli anni precedenti. </w:t>
      </w:r>
      <w:r w:rsidR="00F44594">
        <w:rPr>
          <w:rFonts w:ascii="Arial" w:hAnsi="Arial" w:cs="Arial"/>
          <w:sz w:val="22"/>
          <w:szCs w:val="22"/>
        </w:rPr>
        <w:t xml:space="preserve"> </w:t>
      </w:r>
    </w:p>
    <w:p w14:paraId="60A81065" w14:textId="3FD6EC95" w:rsidR="00AD5418" w:rsidRDefault="00F44594" w:rsidP="00C76837">
      <w:pPr>
        <w:spacing w:after="120"/>
        <w:jc w:val="both"/>
        <w:outlineLvl w:val="0"/>
        <w:rPr>
          <w:rFonts w:ascii="Arial" w:hAnsi="Arial" w:cs="Arial"/>
          <w:sz w:val="22"/>
          <w:szCs w:val="22"/>
        </w:rPr>
      </w:pPr>
      <w:r w:rsidRPr="00AE7FBC">
        <w:rPr>
          <w:rFonts w:ascii="Arial" w:hAnsi="Arial" w:cs="Arial"/>
          <w:sz w:val="22"/>
          <w:szCs w:val="22"/>
        </w:rPr>
        <w:t>Nel 20</w:t>
      </w:r>
      <w:r>
        <w:rPr>
          <w:rFonts w:ascii="Arial" w:hAnsi="Arial" w:cs="Arial"/>
          <w:sz w:val="22"/>
          <w:szCs w:val="22"/>
        </w:rPr>
        <w:t>20, le separazioni sono state complessivamente 79</w:t>
      </w:r>
      <w:r w:rsidRPr="00AE7FBC">
        <w:rPr>
          <w:rFonts w:ascii="Arial" w:hAnsi="Arial" w:cs="Arial"/>
          <w:sz w:val="22"/>
          <w:szCs w:val="22"/>
        </w:rPr>
        <w:t>.</w:t>
      </w:r>
      <w:r>
        <w:rPr>
          <w:rFonts w:ascii="Arial" w:hAnsi="Arial" w:cs="Arial"/>
          <w:sz w:val="22"/>
          <w:szCs w:val="22"/>
        </w:rPr>
        <w:t>917</w:t>
      </w:r>
      <w:r w:rsidR="006F425F">
        <w:rPr>
          <w:rFonts w:ascii="Arial" w:hAnsi="Arial" w:cs="Arial"/>
          <w:sz w:val="22"/>
          <w:szCs w:val="22"/>
        </w:rPr>
        <w:t xml:space="preserve"> (-18,0%)</w:t>
      </w:r>
      <w:r w:rsidRPr="00AE7FBC">
        <w:rPr>
          <w:rFonts w:ascii="Arial" w:hAnsi="Arial" w:cs="Arial"/>
          <w:sz w:val="22"/>
          <w:szCs w:val="22"/>
        </w:rPr>
        <w:t xml:space="preserve">. Dopo l’aumento </w:t>
      </w:r>
      <w:r>
        <w:rPr>
          <w:rFonts w:ascii="Arial" w:hAnsi="Arial" w:cs="Arial"/>
          <w:sz w:val="22"/>
          <w:szCs w:val="22"/>
        </w:rPr>
        <w:t xml:space="preserve">tra </w:t>
      </w:r>
      <w:r w:rsidR="006276D4">
        <w:rPr>
          <w:rFonts w:ascii="Arial" w:hAnsi="Arial" w:cs="Arial"/>
          <w:sz w:val="22"/>
          <w:szCs w:val="22"/>
        </w:rPr>
        <w:t xml:space="preserve">il </w:t>
      </w:r>
      <w:r>
        <w:rPr>
          <w:rFonts w:ascii="Arial" w:hAnsi="Arial" w:cs="Arial"/>
          <w:sz w:val="22"/>
          <w:szCs w:val="22"/>
        </w:rPr>
        <w:t xml:space="preserve">2015 e </w:t>
      </w:r>
      <w:r w:rsidR="006276D4">
        <w:rPr>
          <w:rFonts w:ascii="Arial" w:hAnsi="Arial" w:cs="Arial"/>
          <w:sz w:val="22"/>
          <w:szCs w:val="22"/>
        </w:rPr>
        <w:t xml:space="preserve">il </w:t>
      </w:r>
      <w:r>
        <w:rPr>
          <w:rFonts w:ascii="Arial" w:hAnsi="Arial" w:cs="Arial"/>
          <w:sz w:val="22"/>
          <w:szCs w:val="22"/>
        </w:rPr>
        <w:t>2016</w:t>
      </w:r>
      <w:r w:rsidRPr="00AE7FBC">
        <w:rPr>
          <w:rFonts w:ascii="Arial" w:hAnsi="Arial" w:cs="Arial"/>
          <w:sz w:val="22"/>
          <w:szCs w:val="22"/>
        </w:rPr>
        <w:t xml:space="preserve"> (da 91.706 a 99.611</w:t>
      </w:r>
      <w:r w:rsidR="006276D4">
        <w:rPr>
          <w:rFonts w:ascii="Arial" w:hAnsi="Arial" w:cs="Arial"/>
          <w:sz w:val="22"/>
          <w:szCs w:val="22"/>
        </w:rPr>
        <w:t>;</w:t>
      </w:r>
      <w:r>
        <w:rPr>
          <w:rFonts w:ascii="Arial" w:hAnsi="Arial" w:cs="Arial"/>
          <w:sz w:val="22"/>
          <w:szCs w:val="22"/>
        </w:rPr>
        <w:t xml:space="preserve"> </w:t>
      </w:r>
      <w:r w:rsidRPr="00AE7FBC">
        <w:rPr>
          <w:rFonts w:ascii="Arial" w:hAnsi="Arial" w:cs="Arial"/>
          <w:sz w:val="22"/>
          <w:szCs w:val="22"/>
        </w:rPr>
        <w:t xml:space="preserve">+8,6%), </w:t>
      </w:r>
      <w:r>
        <w:rPr>
          <w:rFonts w:ascii="Arial" w:hAnsi="Arial" w:cs="Arial"/>
          <w:sz w:val="22"/>
          <w:szCs w:val="22"/>
        </w:rPr>
        <w:t xml:space="preserve">le separazioni </w:t>
      </w:r>
      <w:r w:rsidRPr="00AE7FBC">
        <w:rPr>
          <w:rFonts w:ascii="Arial" w:hAnsi="Arial" w:cs="Arial"/>
          <w:sz w:val="22"/>
          <w:szCs w:val="22"/>
        </w:rPr>
        <w:t xml:space="preserve">si </w:t>
      </w:r>
      <w:r w:rsidR="00C55622">
        <w:rPr>
          <w:rFonts w:ascii="Arial" w:hAnsi="Arial" w:cs="Arial"/>
          <w:sz w:val="22"/>
          <w:szCs w:val="22"/>
        </w:rPr>
        <w:t>sono</w:t>
      </w:r>
      <w:r w:rsidR="00C55622" w:rsidRPr="00AE7FBC">
        <w:rPr>
          <w:rFonts w:ascii="Arial" w:hAnsi="Arial" w:cs="Arial"/>
          <w:sz w:val="22"/>
          <w:szCs w:val="22"/>
        </w:rPr>
        <w:t xml:space="preserve"> </w:t>
      </w:r>
      <w:r w:rsidRPr="00AE7FBC">
        <w:rPr>
          <w:rFonts w:ascii="Arial" w:hAnsi="Arial" w:cs="Arial"/>
          <w:sz w:val="22"/>
          <w:szCs w:val="22"/>
        </w:rPr>
        <w:t xml:space="preserve">mantenute </w:t>
      </w:r>
      <w:r w:rsidR="006276D4">
        <w:rPr>
          <w:rFonts w:ascii="Arial" w:hAnsi="Arial" w:cs="Arial"/>
          <w:sz w:val="22"/>
          <w:szCs w:val="22"/>
        </w:rPr>
        <w:t xml:space="preserve">fino al 2019 </w:t>
      </w:r>
      <w:r w:rsidRPr="00AE7FBC">
        <w:rPr>
          <w:rFonts w:ascii="Arial" w:hAnsi="Arial" w:cs="Arial"/>
          <w:sz w:val="22"/>
          <w:szCs w:val="22"/>
        </w:rPr>
        <w:t>su</w:t>
      </w:r>
      <w:r w:rsidR="006276D4">
        <w:rPr>
          <w:rFonts w:ascii="Arial" w:hAnsi="Arial" w:cs="Arial"/>
          <w:sz w:val="22"/>
          <w:szCs w:val="22"/>
        </w:rPr>
        <w:t>llo</w:t>
      </w:r>
      <w:r w:rsidRPr="00AE7FBC">
        <w:rPr>
          <w:rFonts w:ascii="Arial" w:hAnsi="Arial" w:cs="Arial"/>
          <w:sz w:val="22"/>
          <w:szCs w:val="22"/>
        </w:rPr>
        <w:t xml:space="preserve"> stesso livello</w:t>
      </w:r>
      <w:r w:rsidR="006276D4">
        <w:rPr>
          <w:rFonts w:ascii="Arial" w:hAnsi="Arial" w:cs="Arial"/>
          <w:sz w:val="22"/>
          <w:szCs w:val="22"/>
        </w:rPr>
        <w:t>, con</w:t>
      </w:r>
      <w:r w:rsidRPr="00AE7FBC">
        <w:rPr>
          <w:rFonts w:ascii="Arial" w:hAnsi="Arial" w:cs="Arial"/>
          <w:sz w:val="22"/>
          <w:szCs w:val="22"/>
        </w:rPr>
        <w:t xml:space="preserve"> piccole oscillazioni</w:t>
      </w:r>
      <w:r w:rsidR="006F425F">
        <w:rPr>
          <w:rFonts w:ascii="Arial" w:hAnsi="Arial" w:cs="Arial"/>
          <w:sz w:val="22"/>
          <w:szCs w:val="22"/>
        </w:rPr>
        <w:t>.</w:t>
      </w:r>
      <w:r w:rsidR="00AD5418">
        <w:rPr>
          <w:rFonts w:ascii="Arial" w:hAnsi="Arial" w:cs="Arial"/>
          <w:sz w:val="22"/>
          <w:szCs w:val="22"/>
        </w:rPr>
        <w:t xml:space="preserve"> </w:t>
      </w:r>
      <w:r>
        <w:rPr>
          <w:rFonts w:ascii="Arial" w:hAnsi="Arial" w:cs="Arial"/>
          <w:sz w:val="22"/>
          <w:szCs w:val="22"/>
        </w:rPr>
        <w:t>Nel</w:t>
      </w:r>
      <w:r w:rsidR="00C55622">
        <w:rPr>
          <w:rFonts w:ascii="Arial" w:hAnsi="Arial" w:cs="Arial"/>
          <w:sz w:val="22"/>
          <w:szCs w:val="22"/>
        </w:rPr>
        <w:t>lo stesso anno</w:t>
      </w:r>
      <w:r w:rsidR="005360A3">
        <w:rPr>
          <w:rFonts w:ascii="Arial" w:hAnsi="Arial" w:cs="Arial"/>
          <w:sz w:val="22"/>
          <w:szCs w:val="22"/>
        </w:rPr>
        <w:t xml:space="preserve"> i divorzi sono stati </w:t>
      </w:r>
      <w:r>
        <w:rPr>
          <w:rFonts w:ascii="Arial" w:hAnsi="Arial" w:cs="Arial"/>
          <w:sz w:val="22"/>
          <w:szCs w:val="22"/>
        </w:rPr>
        <w:t>66.662</w:t>
      </w:r>
      <w:r w:rsidR="000F3134">
        <w:rPr>
          <w:rFonts w:ascii="Arial" w:hAnsi="Arial" w:cs="Arial"/>
          <w:sz w:val="22"/>
          <w:szCs w:val="22"/>
        </w:rPr>
        <w:t>, il</w:t>
      </w:r>
      <w:r w:rsidR="005360A3">
        <w:rPr>
          <w:rFonts w:ascii="Arial" w:hAnsi="Arial" w:cs="Arial"/>
          <w:sz w:val="22"/>
          <w:szCs w:val="22"/>
        </w:rPr>
        <w:t xml:space="preserve"> </w:t>
      </w:r>
      <w:r>
        <w:rPr>
          <w:rFonts w:ascii="Arial" w:hAnsi="Arial" w:cs="Arial"/>
          <w:sz w:val="22"/>
          <w:szCs w:val="22"/>
        </w:rPr>
        <w:t>21</w:t>
      </w:r>
      <w:r w:rsidR="005360A3" w:rsidRPr="00C52A1B">
        <w:rPr>
          <w:rFonts w:ascii="Arial" w:hAnsi="Arial" w:cs="Arial"/>
          <w:sz w:val="22"/>
          <w:szCs w:val="22"/>
        </w:rPr>
        <w:t>,</w:t>
      </w:r>
      <w:r>
        <w:rPr>
          <w:rFonts w:ascii="Arial" w:hAnsi="Arial" w:cs="Arial"/>
          <w:sz w:val="22"/>
          <w:szCs w:val="22"/>
        </w:rPr>
        <w:t>9</w:t>
      </w:r>
      <w:r w:rsidR="005360A3" w:rsidRPr="00C52A1B">
        <w:rPr>
          <w:rFonts w:ascii="Arial" w:hAnsi="Arial" w:cs="Arial"/>
          <w:sz w:val="22"/>
          <w:szCs w:val="22"/>
        </w:rPr>
        <w:t>%</w:t>
      </w:r>
      <w:r w:rsidR="005360A3">
        <w:rPr>
          <w:rFonts w:ascii="Arial" w:hAnsi="Arial" w:cs="Arial"/>
          <w:sz w:val="22"/>
          <w:szCs w:val="22"/>
        </w:rPr>
        <w:t xml:space="preserve"> in meno</w:t>
      </w:r>
      <w:r w:rsidR="005360A3" w:rsidRPr="00C52A1B">
        <w:rPr>
          <w:rFonts w:ascii="Arial" w:hAnsi="Arial" w:cs="Arial"/>
          <w:sz w:val="22"/>
          <w:szCs w:val="22"/>
        </w:rPr>
        <w:t xml:space="preserve"> risp</w:t>
      </w:r>
      <w:r>
        <w:rPr>
          <w:rFonts w:ascii="Arial" w:hAnsi="Arial" w:cs="Arial"/>
          <w:sz w:val="22"/>
          <w:szCs w:val="22"/>
        </w:rPr>
        <w:t>etto al 2019</w:t>
      </w:r>
      <w:r w:rsidR="005360A3">
        <w:rPr>
          <w:rFonts w:ascii="Arial" w:hAnsi="Arial" w:cs="Arial"/>
          <w:sz w:val="22"/>
          <w:szCs w:val="22"/>
        </w:rPr>
        <w:t xml:space="preserve"> e </w:t>
      </w:r>
      <w:r w:rsidR="000F3134">
        <w:rPr>
          <w:rFonts w:ascii="Arial" w:hAnsi="Arial" w:cs="Arial"/>
          <w:sz w:val="22"/>
          <w:szCs w:val="22"/>
        </w:rPr>
        <w:t xml:space="preserve">il </w:t>
      </w:r>
      <w:r>
        <w:rPr>
          <w:rFonts w:ascii="Arial" w:hAnsi="Arial" w:cs="Arial"/>
          <w:sz w:val="22"/>
          <w:szCs w:val="22"/>
        </w:rPr>
        <w:t>32,7</w:t>
      </w:r>
      <w:r w:rsidR="005360A3" w:rsidRPr="00C52A1B">
        <w:rPr>
          <w:rFonts w:ascii="Arial" w:hAnsi="Arial" w:cs="Arial"/>
          <w:sz w:val="22"/>
          <w:szCs w:val="22"/>
        </w:rPr>
        <w:t>%</w:t>
      </w:r>
      <w:r w:rsidR="005360A3">
        <w:rPr>
          <w:rFonts w:ascii="Arial" w:hAnsi="Arial" w:cs="Arial"/>
          <w:sz w:val="22"/>
          <w:szCs w:val="22"/>
        </w:rPr>
        <w:t xml:space="preserve"> in meno</w:t>
      </w:r>
      <w:r w:rsidR="005360A3" w:rsidRPr="00C52A1B">
        <w:rPr>
          <w:rFonts w:ascii="Arial" w:hAnsi="Arial" w:cs="Arial"/>
          <w:sz w:val="22"/>
          <w:szCs w:val="22"/>
        </w:rPr>
        <w:t xml:space="preserve"> </w:t>
      </w:r>
      <w:r w:rsidR="000F3134">
        <w:rPr>
          <w:rFonts w:ascii="Arial" w:hAnsi="Arial" w:cs="Arial"/>
          <w:sz w:val="22"/>
          <w:szCs w:val="22"/>
        </w:rPr>
        <w:t>nel confronto con il</w:t>
      </w:r>
      <w:r w:rsidR="005360A3" w:rsidRPr="00C52A1B">
        <w:rPr>
          <w:rFonts w:ascii="Arial" w:hAnsi="Arial" w:cs="Arial"/>
          <w:sz w:val="22"/>
          <w:szCs w:val="22"/>
        </w:rPr>
        <w:t xml:space="preserve"> </w:t>
      </w:r>
      <w:r w:rsidR="005360A3">
        <w:rPr>
          <w:rFonts w:ascii="Arial" w:hAnsi="Arial" w:cs="Arial"/>
          <w:sz w:val="22"/>
          <w:szCs w:val="22"/>
        </w:rPr>
        <w:t>2016, anno di massimo relativo (</w:t>
      </w:r>
      <w:r w:rsidR="005360A3" w:rsidRPr="00433578">
        <w:rPr>
          <w:rFonts w:ascii="Arial" w:hAnsi="Arial" w:cs="Arial"/>
          <w:sz w:val="22"/>
          <w:szCs w:val="22"/>
        </w:rPr>
        <w:t>99.071 divorzi</w:t>
      </w:r>
      <w:r w:rsidR="005360A3">
        <w:rPr>
          <w:rFonts w:ascii="Arial" w:hAnsi="Arial" w:cs="Arial"/>
          <w:sz w:val="22"/>
          <w:szCs w:val="22"/>
        </w:rPr>
        <w:t>).</w:t>
      </w:r>
      <w:r w:rsidR="005360A3" w:rsidRPr="00C52A1B">
        <w:rPr>
          <w:rFonts w:ascii="Arial" w:hAnsi="Arial" w:cs="Arial"/>
          <w:sz w:val="22"/>
          <w:szCs w:val="22"/>
        </w:rPr>
        <w:t xml:space="preserve"> </w:t>
      </w:r>
    </w:p>
    <w:p w14:paraId="33AAF5AE" w14:textId="5A384533" w:rsidR="00334F99" w:rsidRDefault="006F425F" w:rsidP="00C76837">
      <w:pPr>
        <w:spacing w:after="120"/>
        <w:jc w:val="both"/>
        <w:outlineLvl w:val="0"/>
        <w:rPr>
          <w:rFonts w:ascii="Arial" w:hAnsi="Arial" w:cs="Arial"/>
          <w:sz w:val="22"/>
          <w:szCs w:val="22"/>
        </w:rPr>
      </w:pPr>
      <w:r>
        <w:rPr>
          <w:rFonts w:ascii="Arial" w:hAnsi="Arial" w:cs="Arial"/>
          <w:sz w:val="22"/>
          <w:szCs w:val="22"/>
        </w:rPr>
        <w:t>L</w:t>
      </w:r>
      <w:r w:rsidR="00F44594">
        <w:rPr>
          <w:rFonts w:ascii="Arial" w:hAnsi="Arial" w:cs="Arial"/>
          <w:sz w:val="22"/>
          <w:szCs w:val="22"/>
        </w:rPr>
        <w:t>a composizione tra separazioni/divorzi consensuali e giudiziali risulta pressoché invariata rispett</w:t>
      </w:r>
      <w:r w:rsidR="00AD5418">
        <w:rPr>
          <w:rFonts w:ascii="Arial" w:hAnsi="Arial" w:cs="Arial"/>
          <w:sz w:val="22"/>
          <w:szCs w:val="22"/>
        </w:rPr>
        <w:t>o all’anno precedente. Infatti,</w:t>
      </w:r>
      <w:r w:rsidR="00F44594">
        <w:rPr>
          <w:rFonts w:ascii="Arial" w:hAnsi="Arial" w:cs="Arial"/>
          <w:sz w:val="22"/>
          <w:szCs w:val="22"/>
        </w:rPr>
        <w:t xml:space="preserve"> </w:t>
      </w:r>
      <w:r w:rsidR="00E859AC">
        <w:rPr>
          <w:rFonts w:ascii="Arial" w:hAnsi="Arial" w:cs="Arial"/>
          <w:sz w:val="22"/>
          <w:szCs w:val="22"/>
        </w:rPr>
        <w:t>n</w:t>
      </w:r>
      <w:r w:rsidR="00F44594">
        <w:rPr>
          <w:rFonts w:ascii="Arial" w:hAnsi="Arial" w:cs="Arial"/>
          <w:sz w:val="22"/>
          <w:szCs w:val="22"/>
        </w:rPr>
        <w:t>el 2020</w:t>
      </w:r>
      <w:r w:rsidR="005B1E4A" w:rsidRPr="00AE7FBC">
        <w:rPr>
          <w:rFonts w:ascii="Arial" w:hAnsi="Arial" w:cs="Arial"/>
          <w:sz w:val="22"/>
          <w:szCs w:val="22"/>
        </w:rPr>
        <w:t xml:space="preserve"> l’85,</w:t>
      </w:r>
      <w:r w:rsidR="00E859AC">
        <w:rPr>
          <w:rFonts w:ascii="Arial" w:hAnsi="Arial" w:cs="Arial"/>
          <w:sz w:val="22"/>
          <w:szCs w:val="22"/>
        </w:rPr>
        <w:t>3</w:t>
      </w:r>
      <w:r w:rsidR="005B1E4A" w:rsidRPr="00AE7FBC">
        <w:rPr>
          <w:rFonts w:ascii="Arial" w:hAnsi="Arial" w:cs="Arial"/>
          <w:sz w:val="22"/>
          <w:szCs w:val="22"/>
        </w:rPr>
        <w:t>% delle separazi</w:t>
      </w:r>
      <w:r w:rsidR="00A818BA">
        <w:rPr>
          <w:rFonts w:ascii="Arial" w:hAnsi="Arial" w:cs="Arial"/>
          <w:sz w:val="22"/>
          <w:szCs w:val="22"/>
        </w:rPr>
        <w:t xml:space="preserve">oni si </w:t>
      </w:r>
      <w:r w:rsidR="00C55622">
        <w:rPr>
          <w:rFonts w:ascii="Arial" w:hAnsi="Arial" w:cs="Arial"/>
          <w:sz w:val="22"/>
          <w:szCs w:val="22"/>
        </w:rPr>
        <w:t xml:space="preserve">è concluso </w:t>
      </w:r>
      <w:r w:rsidR="00A818BA">
        <w:rPr>
          <w:rFonts w:ascii="Arial" w:hAnsi="Arial" w:cs="Arial"/>
          <w:sz w:val="22"/>
          <w:szCs w:val="22"/>
        </w:rPr>
        <w:t>consensualmente</w:t>
      </w:r>
      <w:r w:rsidR="00C55622">
        <w:rPr>
          <w:rFonts w:ascii="Arial" w:hAnsi="Arial" w:cs="Arial"/>
          <w:sz w:val="22"/>
          <w:szCs w:val="22"/>
        </w:rPr>
        <w:t>,</w:t>
      </w:r>
      <w:r w:rsidR="005B1E4A" w:rsidRPr="00AE7FBC">
        <w:rPr>
          <w:rFonts w:ascii="Arial" w:hAnsi="Arial" w:cs="Arial"/>
          <w:sz w:val="22"/>
          <w:szCs w:val="22"/>
        </w:rPr>
        <w:t xml:space="preserve"> percentuale </w:t>
      </w:r>
      <w:r>
        <w:rPr>
          <w:rFonts w:ascii="Arial" w:hAnsi="Arial" w:cs="Arial"/>
          <w:sz w:val="22"/>
          <w:szCs w:val="22"/>
        </w:rPr>
        <w:t xml:space="preserve">rimasta </w:t>
      </w:r>
      <w:r w:rsidR="00FA36AC">
        <w:rPr>
          <w:rFonts w:ascii="Arial" w:hAnsi="Arial" w:cs="Arial"/>
          <w:sz w:val="22"/>
          <w:szCs w:val="22"/>
        </w:rPr>
        <w:t>pressoché</w:t>
      </w:r>
      <w:r>
        <w:rPr>
          <w:rFonts w:ascii="Arial" w:hAnsi="Arial" w:cs="Arial"/>
          <w:sz w:val="22"/>
          <w:szCs w:val="22"/>
        </w:rPr>
        <w:t xml:space="preserve"> stabile </w:t>
      </w:r>
      <w:r w:rsidR="005B1E4A" w:rsidRPr="00AE7FBC">
        <w:rPr>
          <w:rFonts w:ascii="Arial" w:hAnsi="Arial" w:cs="Arial"/>
          <w:sz w:val="22"/>
          <w:szCs w:val="22"/>
        </w:rPr>
        <w:t>nell’ultimo decennio.</w:t>
      </w:r>
      <w:r w:rsidR="007F5A02" w:rsidRPr="00AE7FBC">
        <w:rPr>
          <w:rFonts w:ascii="Arial" w:hAnsi="Arial" w:cs="Arial"/>
          <w:sz w:val="22"/>
          <w:szCs w:val="22"/>
        </w:rPr>
        <w:t xml:space="preserve"> </w:t>
      </w:r>
      <w:r w:rsidR="00C55622">
        <w:rPr>
          <w:rFonts w:ascii="Arial" w:hAnsi="Arial" w:cs="Arial"/>
          <w:sz w:val="22"/>
          <w:szCs w:val="22"/>
        </w:rPr>
        <w:t>È più contenuta la</w:t>
      </w:r>
      <w:r w:rsidR="007F5A02" w:rsidRPr="00AE7FBC">
        <w:rPr>
          <w:rFonts w:ascii="Arial" w:hAnsi="Arial" w:cs="Arial"/>
          <w:sz w:val="22"/>
          <w:szCs w:val="22"/>
        </w:rPr>
        <w:t xml:space="preserve"> quota di divorzi consensuali (7</w:t>
      </w:r>
      <w:r w:rsidR="00E859AC">
        <w:rPr>
          <w:rFonts w:ascii="Arial" w:hAnsi="Arial" w:cs="Arial"/>
          <w:sz w:val="22"/>
          <w:szCs w:val="22"/>
        </w:rPr>
        <w:t>1</w:t>
      </w:r>
      <w:r w:rsidR="007F5A02" w:rsidRPr="00AE7FBC">
        <w:rPr>
          <w:rFonts w:ascii="Arial" w:hAnsi="Arial" w:cs="Arial"/>
          <w:sz w:val="22"/>
          <w:szCs w:val="22"/>
        </w:rPr>
        <w:t>,</w:t>
      </w:r>
      <w:r w:rsidR="00E859AC">
        <w:rPr>
          <w:rFonts w:ascii="Arial" w:hAnsi="Arial" w:cs="Arial"/>
          <w:sz w:val="22"/>
          <w:szCs w:val="22"/>
        </w:rPr>
        <w:t>7% nel 2020</w:t>
      </w:r>
      <w:r w:rsidR="007F5A02" w:rsidRPr="00AE7FBC">
        <w:rPr>
          <w:rFonts w:ascii="Arial" w:hAnsi="Arial" w:cs="Arial"/>
          <w:sz w:val="22"/>
          <w:szCs w:val="22"/>
        </w:rPr>
        <w:t>)</w:t>
      </w:r>
      <w:r w:rsidR="00EF2F15">
        <w:rPr>
          <w:rFonts w:ascii="Arial" w:hAnsi="Arial" w:cs="Arial"/>
          <w:sz w:val="22"/>
          <w:szCs w:val="22"/>
        </w:rPr>
        <w:t xml:space="preserve"> ma </w:t>
      </w:r>
      <w:r w:rsidR="00FA36AC">
        <w:rPr>
          <w:rFonts w:ascii="Arial" w:hAnsi="Arial" w:cs="Arial"/>
          <w:sz w:val="22"/>
          <w:szCs w:val="22"/>
        </w:rPr>
        <w:t>sostanzialmente</w:t>
      </w:r>
      <w:r w:rsidR="00EF2F15">
        <w:rPr>
          <w:rFonts w:ascii="Arial" w:hAnsi="Arial" w:cs="Arial"/>
          <w:sz w:val="22"/>
          <w:szCs w:val="22"/>
        </w:rPr>
        <w:t xml:space="preserve"> in linea con l’anno precedente (70,1%)</w:t>
      </w:r>
      <w:r w:rsidR="007F5A02" w:rsidRPr="00AE7FBC">
        <w:rPr>
          <w:rFonts w:ascii="Arial" w:hAnsi="Arial" w:cs="Arial"/>
          <w:sz w:val="22"/>
          <w:szCs w:val="22"/>
        </w:rPr>
        <w:t>. Dopo il picco del 201</w:t>
      </w:r>
      <w:r w:rsidR="00A818BA">
        <w:rPr>
          <w:rFonts w:ascii="Arial" w:hAnsi="Arial" w:cs="Arial"/>
          <w:sz w:val="22"/>
          <w:szCs w:val="22"/>
        </w:rPr>
        <w:t>6</w:t>
      </w:r>
      <w:r w:rsidR="00EC4C36" w:rsidRPr="00AE7FBC">
        <w:rPr>
          <w:rFonts w:ascii="Arial" w:hAnsi="Arial" w:cs="Arial"/>
          <w:sz w:val="22"/>
          <w:szCs w:val="22"/>
        </w:rPr>
        <w:t xml:space="preserve"> (78,2%)</w:t>
      </w:r>
      <w:r w:rsidR="00FD0392" w:rsidRPr="00AE7FBC">
        <w:rPr>
          <w:rFonts w:ascii="Arial" w:hAnsi="Arial" w:cs="Arial"/>
          <w:sz w:val="22"/>
          <w:szCs w:val="22"/>
        </w:rPr>
        <w:t xml:space="preserve"> la proporzione di divorzi consensuali decresce per tornare</w:t>
      </w:r>
      <w:r w:rsidR="00C55622">
        <w:rPr>
          <w:rFonts w:ascii="Arial" w:hAnsi="Arial" w:cs="Arial"/>
          <w:sz w:val="22"/>
          <w:szCs w:val="22"/>
        </w:rPr>
        <w:t xml:space="preserve"> in prossimità de</w:t>
      </w:r>
      <w:r w:rsidR="00FD0392" w:rsidRPr="00AE7FBC">
        <w:rPr>
          <w:rFonts w:ascii="Arial" w:hAnsi="Arial" w:cs="Arial"/>
          <w:sz w:val="22"/>
          <w:szCs w:val="22"/>
        </w:rPr>
        <w:t xml:space="preserve">l </w:t>
      </w:r>
      <w:r w:rsidR="00C55622">
        <w:rPr>
          <w:rFonts w:ascii="Arial" w:hAnsi="Arial" w:cs="Arial"/>
          <w:sz w:val="22"/>
          <w:szCs w:val="22"/>
        </w:rPr>
        <w:t>valore</w:t>
      </w:r>
      <w:r w:rsidR="00C55622" w:rsidRPr="00AE7FBC">
        <w:rPr>
          <w:rFonts w:ascii="Arial" w:hAnsi="Arial" w:cs="Arial"/>
          <w:sz w:val="22"/>
          <w:szCs w:val="22"/>
        </w:rPr>
        <w:t xml:space="preserve"> </w:t>
      </w:r>
      <w:r w:rsidR="00FD0392" w:rsidRPr="00AE7FBC">
        <w:rPr>
          <w:rFonts w:ascii="Arial" w:hAnsi="Arial" w:cs="Arial"/>
          <w:sz w:val="22"/>
          <w:szCs w:val="22"/>
        </w:rPr>
        <w:t>di inizio decennio (72,4% nel 2010).</w:t>
      </w:r>
    </w:p>
    <w:p w14:paraId="0ECB58C6" w14:textId="77777777" w:rsidR="006276D4" w:rsidRPr="00155C7A" w:rsidRDefault="006276D4" w:rsidP="00C76837">
      <w:pPr>
        <w:spacing w:after="120"/>
        <w:jc w:val="both"/>
        <w:outlineLvl w:val="0"/>
        <w:rPr>
          <w:rFonts w:ascii="Arial" w:hAnsi="Arial" w:cs="Arial"/>
          <w:sz w:val="44"/>
          <w:szCs w:val="44"/>
        </w:rPr>
      </w:pPr>
    </w:p>
    <w:p w14:paraId="7D54B2FE" w14:textId="1D465DCB" w:rsidR="004C7647" w:rsidRDefault="00235A69" w:rsidP="00235A69">
      <w:pPr>
        <w:autoSpaceDE w:val="0"/>
        <w:autoSpaceDN w:val="0"/>
        <w:adjustRightInd w:val="0"/>
        <w:spacing w:after="240"/>
        <w:rPr>
          <w:rFonts w:ascii="Arial Narrow" w:hAnsi="Arial Narrow" w:cs="Arial"/>
          <w:color w:val="1F497D" w:themeColor="text2"/>
          <w:sz w:val="22"/>
          <w:szCs w:val="22"/>
        </w:rPr>
      </w:pPr>
      <w:r>
        <w:rPr>
          <w:rFonts w:ascii="Arial Black" w:hAnsi="Arial Black" w:cs="Arial"/>
          <w:iCs/>
          <w:noProof/>
          <w:color w:val="1F497D" w:themeColor="text2"/>
          <w:sz w:val="22"/>
          <w:szCs w:val="22"/>
        </w:rPr>
        <w:t>F</w:t>
      </w:r>
      <w:r w:rsidRPr="005D02DA">
        <w:rPr>
          <w:rFonts w:ascii="Arial Black" w:hAnsi="Arial Black" w:cs="Arial"/>
          <w:iCs/>
          <w:noProof/>
          <w:color w:val="1F497D" w:themeColor="text2"/>
          <w:sz w:val="22"/>
          <w:szCs w:val="22"/>
        </w:rPr>
        <w:t xml:space="preserve">IGURA </w:t>
      </w:r>
      <w:r w:rsidR="004975C0">
        <w:rPr>
          <w:rFonts w:ascii="Arial Black" w:hAnsi="Arial Black" w:cs="Arial"/>
          <w:iCs/>
          <w:noProof/>
          <w:color w:val="1F497D" w:themeColor="text2"/>
          <w:sz w:val="22"/>
          <w:szCs w:val="22"/>
        </w:rPr>
        <w:t>7</w:t>
      </w:r>
      <w:r w:rsidRPr="005D02DA">
        <w:rPr>
          <w:rFonts w:ascii="Arial Black" w:hAnsi="Arial Black" w:cs="Arial"/>
          <w:iCs/>
          <w:noProof/>
          <w:color w:val="1F497D" w:themeColor="text2"/>
          <w:sz w:val="22"/>
          <w:szCs w:val="22"/>
        </w:rPr>
        <w:t>.</w:t>
      </w:r>
      <w:r>
        <w:rPr>
          <w:rFonts w:ascii="Arial Narrow" w:hAnsi="Arial Narrow" w:cs="Arial"/>
          <w:b/>
          <w:iCs/>
          <w:noProof/>
          <w:color w:val="1F497D" w:themeColor="text2"/>
          <w:sz w:val="22"/>
          <w:szCs w:val="22"/>
        </w:rPr>
        <w:t xml:space="preserve"> SEPARAZIONI E DIVORZI</w:t>
      </w:r>
      <w:r w:rsidRPr="00FA7550">
        <w:t xml:space="preserve"> </w:t>
      </w:r>
      <w:r w:rsidRPr="00FA7550">
        <w:rPr>
          <w:rFonts w:ascii="Arial Narrow" w:hAnsi="Arial Narrow" w:cs="Arial"/>
          <w:b/>
          <w:iCs/>
          <w:noProof/>
          <w:color w:val="1F497D" w:themeColor="text2"/>
          <w:sz w:val="22"/>
          <w:szCs w:val="22"/>
        </w:rPr>
        <w:t>PER RITO DI ESAURIMENTO DEL PROCEDIMENTO E TIP</w:t>
      </w:r>
      <w:r>
        <w:rPr>
          <w:rFonts w:ascii="Arial Narrow" w:hAnsi="Arial Narrow" w:cs="Arial"/>
          <w:b/>
          <w:iCs/>
          <w:noProof/>
          <w:color w:val="1F497D" w:themeColor="text2"/>
          <w:sz w:val="22"/>
          <w:szCs w:val="22"/>
        </w:rPr>
        <w:t xml:space="preserve">O DI ACCORDO. </w:t>
      </w:r>
      <w:r w:rsidRPr="0065736C">
        <w:rPr>
          <w:rFonts w:ascii="Arial Narrow" w:hAnsi="Arial Narrow" w:cs="Arial"/>
          <w:color w:val="1F497D" w:themeColor="text2"/>
          <w:sz w:val="22"/>
          <w:szCs w:val="22"/>
        </w:rPr>
        <w:t>A</w:t>
      </w:r>
      <w:r>
        <w:rPr>
          <w:rFonts w:ascii="Arial Narrow" w:hAnsi="Arial Narrow" w:cs="Arial"/>
          <w:color w:val="1F497D" w:themeColor="text2"/>
          <w:sz w:val="22"/>
          <w:szCs w:val="22"/>
        </w:rPr>
        <w:t>nni 2010-20</w:t>
      </w:r>
      <w:r w:rsidR="009C09FB">
        <w:rPr>
          <w:rFonts w:ascii="Arial Narrow" w:hAnsi="Arial Narrow" w:cs="Arial"/>
          <w:color w:val="1F497D" w:themeColor="text2"/>
          <w:sz w:val="22"/>
          <w:szCs w:val="22"/>
        </w:rPr>
        <w:t>20</w:t>
      </w:r>
      <w:r w:rsidRPr="0065736C">
        <w:rPr>
          <w:rFonts w:ascii="Arial Narrow" w:hAnsi="Arial Narrow" w:cs="Arial"/>
          <w:color w:val="1F497D" w:themeColor="text2"/>
          <w:sz w:val="22"/>
          <w:szCs w:val="22"/>
        </w:rPr>
        <w:t xml:space="preserve">, </w:t>
      </w:r>
      <w:r>
        <w:rPr>
          <w:rFonts w:ascii="Arial Narrow" w:hAnsi="Arial Narrow" w:cs="Arial"/>
          <w:color w:val="1F497D" w:themeColor="text2"/>
          <w:sz w:val="22"/>
          <w:szCs w:val="22"/>
        </w:rPr>
        <w:t xml:space="preserve">valori assoluti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46"/>
      </w:tblGrid>
      <w:tr w:rsidR="00544055" w14:paraId="17FFC3B1" w14:textId="77777777" w:rsidTr="00155C7A">
        <w:tc>
          <w:tcPr>
            <w:tcW w:w="4971" w:type="dxa"/>
          </w:tcPr>
          <w:p w14:paraId="16E94051" w14:textId="5DE24927" w:rsidR="00544055" w:rsidRDefault="00544055" w:rsidP="00235A69">
            <w:pPr>
              <w:autoSpaceDE w:val="0"/>
              <w:autoSpaceDN w:val="0"/>
              <w:adjustRightInd w:val="0"/>
              <w:spacing w:after="240"/>
              <w:rPr>
                <w:rFonts w:ascii="Arial Narrow" w:hAnsi="Arial Narrow" w:cs="Arial"/>
                <w:color w:val="1F497D" w:themeColor="text2"/>
                <w:sz w:val="22"/>
                <w:szCs w:val="22"/>
              </w:rPr>
            </w:pPr>
            <w:r>
              <w:rPr>
                <w:noProof/>
              </w:rPr>
              <w:drawing>
                <wp:inline distT="0" distB="0" distL="0" distR="0" wp14:anchorId="4D1D34E9" wp14:editId="74839D04">
                  <wp:extent cx="3038475" cy="2200275"/>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941" w:type="dxa"/>
          </w:tcPr>
          <w:p w14:paraId="0D552F2F" w14:textId="57B37C65" w:rsidR="00544055" w:rsidRDefault="00544055" w:rsidP="00235A69">
            <w:pPr>
              <w:autoSpaceDE w:val="0"/>
              <w:autoSpaceDN w:val="0"/>
              <w:adjustRightInd w:val="0"/>
              <w:spacing w:after="240"/>
              <w:rPr>
                <w:rFonts w:ascii="Arial Narrow" w:hAnsi="Arial Narrow" w:cs="Arial"/>
                <w:color w:val="1F497D" w:themeColor="text2"/>
                <w:sz w:val="22"/>
                <w:szCs w:val="22"/>
              </w:rPr>
            </w:pPr>
            <w:r>
              <w:rPr>
                <w:noProof/>
              </w:rPr>
              <w:drawing>
                <wp:inline distT="0" distB="0" distL="0" distR="0" wp14:anchorId="1BB80A7B" wp14:editId="7758942A">
                  <wp:extent cx="3019425" cy="2200275"/>
                  <wp:effectExtent l="0" t="0" r="0" b="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3691AEC4" w14:textId="77777777" w:rsidR="00EA2144" w:rsidRPr="00155C7A" w:rsidRDefault="00EA2144" w:rsidP="0089585C">
      <w:pPr>
        <w:spacing w:after="120"/>
        <w:jc w:val="both"/>
        <w:outlineLvl w:val="0"/>
        <w:rPr>
          <w:rFonts w:ascii="Arial" w:hAnsi="Arial" w:cs="Arial"/>
          <w:color w:val="1F497D" w:themeColor="text2"/>
          <w:sz w:val="26"/>
          <w:szCs w:val="26"/>
        </w:rPr>
      </w:pPr>
    </w:p>
    <w:p w14:paraId="5D150678" w14:textId="43A3793C" w:rsidR="0089585C" w:rsidRDefault="0089585C" w:rsidP="0089585C">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Separazioni e divorzi non più sol</w:t>
      </w:r>
      <w:r w:rsidR="006276D4">
        <w:rPr>
          <w:rFonts w:ascii="Arial" w:hAnsi="Arial" w:cs="Arial"/>
          <w:b/>
          <w:color w:val="1F497D" w:themeColor="text2"/>
          <w:sz w:val="26"/>
          <w:szCs w:val="26"/>
        </w:rPr>
        <w:t>tant</w:t>
      </w:r>
      <w:r>
        <w:rPr>
          <w:rFonts w:ascii="Arial" w:hAnsi="Arial" w:cs="Arial"/>
          <w:b/>
          <w:color w:val="1F497D" w:themeColor="text2"/>
          <w:sz w:val="26"/>
          <w:szCs w:val="26"/>
        </w:rPr>
        <w:t>o in Tribunale</w:t>
      </w:r>
    </w:p>
    <w:p w14:paraId="25EC938F" w14:textId="77777777" w:rsidR="004B0600" w:rsidRDefault="004B0600" w:rsidP="004B0600">
      <w:pPr>
        <w:spacing w:after="120"/>
        <w:jc w:val="both"/>
        <w:outlineLvl w:val="0"/>
        <w:rPr>
          <w:rFonts w:ascii="Arial" w:hAnsi="Arial" w:cs="Arial"/>
          <w:sz w:val="22"/>
          <w:szCs w:val="22"/>
        </w:rPr>
      </w:pPr>
      <w:r>
        <w:rPr>
          <w:rFonts w:ascii="Arial" w:hAnsi="Arial" w:cs="Arial"/>
          <w:sz w:val="22"/>
          <w:szCs w:val="22"/>
        </w:rPr>
        <w:t xml:space="preserve">Considerando il complesso dei provvedimenti consensuali (sia extragiudiziali che non), quasi una separazione consensuale su tre e quasi un divorzio consensuale su due avviene al di fuori del Tribunale. </w:t>
      </w:r>
    </w:p>
    <w:p w14:paraId="4217A0D5" w14:textId="5F4A6221" w:rsidR="004B0600" w:rsidRDefault="00334F99" w:rsidP="0089585C">
      <w:pPr>
        <w:spacing w:after="120"/>
        <w:jc w:val="both"/>
        <w:outlineLvl w:val="0"/>
        <w:rPr>
          <w:rFonts w:ascii="Arial" w:hAnsi="Arial" w:cs="Arial"/>
          <w:sz w:val="22"/>
          <w:szCs w:val="22"/>
        </w:rPr>
      </w:pPr>
      <w:r>
        <w:rPr>
          <w:rFonts w:ascii="Arial" w:hAnsi="Arial" w:cs="Arial"/>
          <w:sz w:val="22"/>
          <w:szCs w:val="22"/>
        </w:rPr>
        <w:t>I percorsi consensuali extragiudiziali</w:t>
      </w:r>
      <w:r w:rsidR="006276D4">
        <w:rPr>
          <w:rFonts w:ascii="Arial" w:hAnsi="Arial" w:cs="Arial"/>
          <w:sz w:val="22"/>
          <w:szCs w:val="22"/>
        </w:rPr>
        <w:t xml:space="preserve"> (</w:t>
      </w:r>
      <w:r w:rsidR="00655680">
        <w:rPr>
          <w:rFonts w:ascii="Arial" w:hAnsi="Arial" w:cs="Arial"/>
          <w:sz w:val="22"/>
          <w:szCs w:val="22"/>
        </w:rPr>
        <w:t>D.</w:t>
      </w:r>
      <w:r w:rsidR="006276D4">
        <w:rPr>
          <w:rFonts w:ascii="Arial" w:hAnsi="Arial" w:cs="Arial"/>
          <w:sz w:val="22"/>
          <w:szCs w:val="22"/>
        </w:rPr>
        <w:t>l</w:t>
      </w:r>
      <w:r w:rsidR="00655680">
        <w:rPr>
          <w:rFonts w:ascii="Arial" w:hAnsi="Arial" w:cs="Arial"/>
          <w:sz w:val="22"/>
          <w:szCs w:val="22"/>
        </w:rPr>
        <w:t>.</w:t>
      </w:r>
      <w:r w:rsidRPr="006527FF">
        <w:rPr>
          <w:rFonts w:ascii="Arial" w:hAnsi="Arial" w:cs="Arial"/>
          <w:sz w:val="22"/>
          <w:szCs w:val="22"/>
        </w:rPr>
        <w:t xml:space="preserve"> 132/2014</w:t>
      </w:r>
      <w:r w:rsidR="006276D4">
        <w:rPr>
          <w:rFonts w:ascii="Arial" w:hAnsi="Arial" w:cs="Arial"/>
          <w:sz w:val="22"/>
          <w:szCs w:val="22"/>
        </w:rPr>
        <w:t>)</w:t>
      </w:r>
      <w:r>
        <w:rPr>
          <w:rFonts w:ascii="Arial" w:hAnsi="Arial" w:cs="Arial"/>
          <w:sz w:val="22"/>
          <w:szCs w:val="22"/>
        </w:rPr>
        <w:t xml:space="preserve"> </w:t>
      </w:r>
      <w:r w:rsidR="0089585C">
        <w:rPr>
          <w:rFonts w:ascii="Arial" w:hAnsi="Arial" w:cs="Arial"/>
          <w:sz w:val="22"/>
          <w:szCs w:val="22"/>
        </w:rPr>
        <w:t xml:space="preserve">riguardano rispettivamente il 26,7% di tutte le separazioni e il 32,7% dei divorzi. </w:t>
      </w:r>
      <w:r w:rsidR="006276D4">
        <w:rPr>
          <w:rFonts w:ascii="Arial" w:hAnsi="Arial" w:cs="Arial"/>
          <w:sz w:val="22"/>
          <w:szCs w:val="22"/>
        </w:rPr>
        <w:t>Ne</w:t>
      </w:r>
      <w:r w:rsidR="004B0600">
        <w:rPr>
          <w:rFonts w:ascii="Arial" w:hAnsi="Arial" w:cs="Arial"/>
          <w:sz w:val="22"/>
          <w:szCs w:val="22"/>
        </w:rPr>
        <w:t>gli accordi extragiudiziali per separarsi o divorziare le quote delle negoziazioni assistite da avvocati (ex art. 6) sono, rispettivamente, 43,0% e 29,1%, entrambe in crescita ri</w:t>
      </w:r>
      <w:r w:rsidR="008C734B">
        <w:rPr>
          <w:rFonts w:ascii="Arial" w:hAnsi="Arial" w:cs="Arial"/>
          <w:sz w:val="22"/>
          <w:szCs w:val="22"/>
        </w:rPr>
        <w:t>spetto al 2019 (37,7% e 24,9%)</w:t>
      </w:r>
      <w:r w:rsidR="004B0600">
        <w:rPr>
          <w:rFonts w:ascii="Arial" w:hAnsi="Arial" w:cs="Arial"/>
          <w:sz w:val="22"/>
          <w:szCs w:val="22"/>
        </w:rPr>
        <w:t>.</w:t>
      </w:r>
    </w:p>
    <w:p w14:paraId="68E55C6D" w14:textId="43F69B0A" w:rsidR="004B0600" w:rsidRDefault="008A015D" w:rsidP="008A015D">
      <w:pPr>
        <w:spacing w:after="120"/>
        <w:jc w:val="both"/>
        <w:outlineLvl w:val="0"/>
        <w:rPr>
          <w:rFonts w:ascii="Arial" w:hAnsi="Arial" w:cs="Arial"/>
          <w:sz w:val="22"/>
          <w:szCs w:val="22"/>
        </w:rPr>
      </w:pPr>
      <w:r>
        <w:rPr>
          <w:rFonts w:ascii="Arial" w:hAnsi="Arial" w:cs="Arial"/>
          <w:sz w:val="22"/>
          <w:szCs w:val="22"/>
        </w:rPr>
        <w:t xml:space="preserve">Tuttavia, la componente che in questi anni </w:t>
      </w:r>
      <w:r w:rsidR="006276D4">
        <w:rPr>
          <w:rFonts w:ascii="Arial" w:hAnsi="Arial" w:cs="Arial"/>
          <w:sz w:val="22"/>
          <w:szCs w:val="22"/>
        </w:rPr>
        <w:t xml:space="preserve">si </w:t>
      </w:r>
      <w:r>
        <w:rPr>
          <w:rFonts w:ascii="Arial" w:hAnsi="Arial" w:cs="Arial"/>
          <w:sz w:val="22"/>
          <w:szCs w:val="22"/>
        </w:rPr>
        <w:t>sta consolidando sempre più è quella degli accordi extragiudiziali direttamente presso gli Uffici di Stato Civile (</w:t>
      </w:r>
      <w:r w:rsidR="004B0600">
        <w:rPr>
          <w:rFonts w:ascii="Arial" w:hAnsi="Arial" w:cs="Arial"/>
          <w:sz w:val="22"/>
          <w:szCs w:val="22"/>
        </w:rPr>
        <w:t xml:space="preserve">ex </w:t>
      </w:r>
      <w:r>
        <w:rPr>
          <w:rFonts w:ascii="Arial" w:hAnsi="Arial" w:cs="Arial"/>
          <w:sz w:val="22"/>
          <w:szCs w:val="22"/>
        </w:rPr>
        <w:t>art. 12). Nel 20</w:t>
      </w:r>
      <w:r w:rsidR="004B0600">
        <w:rPr>
          <w:rFonts w:ascii="Arial" w:hAnsi="Arial" w:cs="Arial"/>
          <w:sz w:val="22"/>
          <w:szCs w:val="22"/>
        </w:rPr>
        <w:t>20</w:t>
      </w:r>
      <w:r>
        <w:rPr>
          <w:rFonts w:ascii="Arial" w:hAnsi="Arial" w:cs="Arial"/>
          <w:sz w:val="22"/>
          <w:szCs w:val="22"/>
        </w:rPr>
        <w:t xml:space="preserve">, </w:t>
      </w:r>
      <w:r w:rsidR="004B0600">
        <w:rPr>
          <w:rFonts w:ascii="Arial" w:hAnsi="Arial" w:cs="Arial"/>
          <w:sz w:val="22"/>
          <w:szCs w:val="22"/>
        </w:rPr>
        <w:t>12.177</w:t>
      </w:r>
      <w:r>
        <w:rPr>
          <w:rFonts w:ascii="Arial" w:hAnsi="Arial" w:cs="Arial"/>
          <w:sz w:val="22"/>
          <w:szCs w:val="22"/>
        </w:rPr>
        <w:t xml:space="preserve"> separazioni e </w:t>
      </w:r>
      <w:r w:rsidR="004B0600">
        <w:rPr>
          <w:rFonts w:ascii="Arial" w:hAnsi="Arial" w:cs="Arial"/>
          <w:sz w:val="22"/>
          <w:szCs w:val="22"/>
        </w:rPr>
        <w:t>15.467</w:t>
      </w:r>
      <w:r>
        <w:rPr>
          <w:rFonts w:ascii="Arial" w:hAnsi="Arial" w:cs="Arial"/>
          <w:sz w:val="22"/>
          <w:szCs w:val="22"/>
        </w:rPr>
        <w:t xml:space="preserve"> divorzi sono stati effettuati direttamente presso il </w:t>
      </w:r>
      <w:r w:rsidR="006276D4">
        <w:rPr>
          <w:rFonts w:ascii="Arial" w:hAnsi="Arial" w:cs="Arial"/>
          <w:sz w:val="22"/>
          <w:szCs w:val="22"/>
        </w:rPr>
        <w:t>C</w:t>
      </w:r>
      <w:r>
        <w:rPr>
          <w:rFonts w:ascii="Arial" w:hAnsi="Arial" w:cs="Arial"/>
          <w:sz w:val="22"/>
          <w:szCs w:val="22"/>
        </w:rPr>
        <w:t xml:space="preserve">omune (con tempi e costi molto più </w:t>
      </w:r>
      <w:r w:rsidR="00C55622">
        <w:rPr>
          <w:rFonts w:ascii="Arial" w:hAnsi="Arial" w:cs="Arial"/>
          <w:sz w:val="22"/>
          <w:szCs w:val="22"/>
        </w:rPr>
        <w:t xml:space="preserve">bassi </w:t>
      </w:r>
      <w:r>
        <w:rPr>
          <w:rFonts w:ascii="Arial" w:hAnsi="Arial" w:cs="Arial"/>
          <w:sz w:val="22"/>
          <w:szCs w:val="22"/>
        </w:rPr>
        <w:t>rispetto alle altre fattispecie): si tratta del 15,</w:t>
      </w:r>
      <w:r w:rsidR="004B0600">
        <w:rPr>
          <w:rFonts w:ascii="Arial" w:hAnsi="Arial" w:cs="Arial"/>
          <w:sz w:val="22"/>
          <w:szCs w:val="22"/>
        </w:rPr>
        <w:t>2</w:t>
      </w:r>
      <w:r>
        <w:rPr>
          <w:rFonts w:ascii="Arial" w:hAnsi="Arial" w:cs="Arial"/>
          <w:sz w:val="22"/>
          <w:szCs w:val="22"/>
        </w:rPr>
        <w:t>% di tutte le separazioni e del 23,</w:t>
      </w:r>
      <w:r w:rsidR="004B0600">
        <w:rPr>
          <w:rFonts w:ascii="Arial" w:hAnsi="Arial" w:cs="Arial"/>
          <w:sz w:val="22"/>
          <w:szCs w:val="22"/>
        </w:rPr>
        <w:t>2% di tutti i divorzi</w:t>
      </w:r>
      <w:r w:rsidR="006276D4">
        <w:rPr>
          <w:rFonts w:ascii="Arial" w:hAnsi="Arial" w:cs="Arial"/>
          <w:sz w:val="22"/>
          <w:szCs w:val="22"/>
        </w:rPr>
        <w:t>,</w:t>
      </w:r>
      <w:r w:rsidR="004B0600">
        <w:rPr>
          <w:rFonts w:ascii="Arial" w:hAnsi="Arial" w:cs="Arial"/>
          <w:sz w:val="22"/>
          <w:szCs w:val="22"/>
        </w:rPr>
        <w:t xml:space="preserve"> quote in linea con quelle dell’anno precedente.</w:t>
      </w:r>
    </w:p>
    <w:p w14:paraId="5A83FCE4" w14:textId="77777777" w:rsidR="008A015D" w:rsidRDefault="008A015D" w:rsidP="008A015D">
      <w:pPr>
        <w:spacing w:after="120"/>
        <w:jc w:val="both"/>
        <w:rPr>
          <w:rFonts w:ascii="Arial" w:hAnsi="Arial" w:cs="Arial"/>
          <w:sz w:val="22"/>
          <w:szCs w:val="22"/>
        </w:rPr>
      </w:pPr>
    </w:p>
    <w:p w14:paraId="7E2AE20F" w14:textId="03718800" w:rsidR="00AE7FBC" w:rsidRDefault="00B64C7B" w:rsidP="00050D69">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 xml:space="preserve">Nel Nord </w:t>
      </w:r>
      <w:r w:rsidR="00F5419E">
        <w:rPr>
          <w:rFonts w:ascii="Arial" w:hAnsi="Arial" w:cs="Arial"/>
          <w:b/>
          <w:color w:val="1F497D" w:themeColor="text2"/>
          <w:sz w:val="26"/>
          <w:szCs w:val="26"/>
        </w:rPr>
        <w:t xml:space="preserve">più diffusi </w:t>
      </w:r>
      <w:r>
        <w:rPr>
          <w:rFonts w:ascii="Arial" w:hAnsi="Arial" w:cs="Arial"/>
          <w:b/>
          <w:color w:val="1F497D" w:themeColor="text2"/>
          <w:sz w:val="26"/>
          <w:szCs w:val="26"/>
        </w:rPr>
        <w:t>i divorzi extragiudiziali</w:t>
      </w:r>
    </w:p>
    <w:p w14:paraId="4B5B4A29" w14:textId="4EC59205" w:rsidR="00C55622" w:rsidRDefault="006276D4" w:rsidP="00050D69">
      <w:pPr>
        <w:spacing w:after="120"/>
        <w:jc w:val="both"/>
        <w:outlineLvl w:val="0"/>
        <w:rPr>
          <w:rFonts w:ascii="Arial" w:hAnsi="Arial" w:cs="Arial"/>
          <w:sz w:val="22"/>
          <w:szCs w:val="22"/>
        </w:rPr>
      </w:pPr>
      <w:r>
        <w:rPr>
          <w:rFonts w:ascii="Arial" w:hAnsi="Arial" w:cs="Arial"/>
          <w:sz w:val="22"/>
          <w:szCs w:val="22"/>
        </w:rPr>
        <w:t>L</w:t>
      </w:r>
      <w:r w:rsidRPr="00DF5621">
        <w:rPr>
          <w:rFonts w:ascii="Arial" w:hAnsi="Arial" w:cs="Arial"/>
          <w:sz w:val="22"/>
          <w:szCs w:val="22"/>
        </w:rPr>
        <w:t xml:space="preserve">a propensione a ricorrere </w:t>
      </w:r>
      <w:r w:rsidR="00FA7550" w:rsidRPr="00DF5621">
        <w:rPr>
          <w:rFonts w:ascii="Arial" w:hAnsi="Arial" w:cs="Arial"/>
          <w:sz w:val="22"/>
          <w:szCs w:val="22"/>
        </w:rPr>
        <w:t>a</w:t>
      </w:r>
      <w:r w:rsidR="00E30E57" w:rsidRPr="00DF5621">
        <w:rPr>
          <w:rFonts w:ascii="Arial" w:hAnsi="Arial" w:cs="Arial"/>
          <w:sz w:val="22"/>
          <w:szCs w:val="22"/>
        </w:rPr>
        <w:t>gli</w:t>
      </w:r>
      <w:r w:rsidR="00DF5621">
        <w:rPr>
          <w:rFonts w:ascii="Arial" w:hAnsi="Arial" w:cs="Arial"/>
          <w:sz w:val="22"/>
          <w:szCs w:val="22"/>
        </w:rPr>
        <w:t xml:space="preserve"> accordi extra</w:t>
      </w:r>
      <w:r w:rsidR="00FA7550" w:rsidRPr="00DF5621">
        <w:rPr>
          <w:rFonts w:ascii="Arial" w:hAnsi="Arial" w:cs="Arial"/>
          <w:sz w:val="22"/>
          <w:szCs w:val="22"/>
        </w:rPr>
        <w:t>giudiziali di divorzio è diffus</w:t>
      </w:r>
      <w:r>
        <w:rPr>
          <w:rFonts w:ascii="Arial" w:hAnsi="Arial" w:cs="Arial"/>
          <w:sz w:val="22"/>
          <w:szCs w:val="22"/>
        </w:rPr>
        <w:t>a</w:t>
      </w:r>
      <w:r w:rsidR="00FA7550" w:rsidRPr="00DF5621">
        <w:rPr>
          <w:rFonts w:ascii="Arial" w:hAnsi="Arial" w:cs="Arial"/>
          <w:sz w:val="22"/>
          <w:szCs w:val="22"/>
        </w:rPr>
        <w:t xml:space="preserve"> in tutto il Paese</w:t>
      </w:r>
      <w:r w:rsidR="00823500">
        <w:rPr>
          <w:rFonts w:ascii="Arial" w:hAnsi="Arial" w:cs="Arial"/>
          <w:sz w:val="22"/>
          <w:szCs w:val="22"/>
        </w:rPr>
        <w:t xml:space="preserve"> ma</w:t>
      </w:r>
      <w:r w:rsidR="00FA7550" w:rsidRPr="00DF5621">
        <w:rPr>
          <w:rFonts w:ascii="Arial" w:hAnsi="Arial" w:cs="Arial"/>
          <w:sz w:val="22"/>
          <w:szCs w:val="22"/>
        </w:rPr>
        <w:t xml:space="preserve"> </w:t>
      </w:r>
      <w:r>
        <w:rPr>
          <w:rFonts w:ascii="Arial" w:hAnsi="Arial" w:cs="Arial"/>
          <w:sz w:val="22"/>
          <w:szCs w:val="22"/>
        </w:rPr>
        <w:t>soprattutto</w:t>
      </w:r>
      <w:r w:rsidR="00DF5621">
        <w:rPr>
          <w:rFonts w:ascii="Arial" w:hAnsi="Arial" w:cs="Arial"/>
          <w:sz w:val="22"/>
          <w:szCs w:val="22"/>
        </w:rPr>
        <w:t xml:space="preserve"> </w:t>
      </w:r>
      <w:r w:rsidR="00FA7550" w:rsidRPr="00DF5621">
        <w:rPr>
          <w:rFonts w:ascii="Arial" w:hAnsi="Arial" w:cs="Arial"/>
          <w:sz w:val="22"/>
          <w:szCs w:val="22"/>
        </w:rPr>
        <w:t xml:space="preserve">tra i residenti nel Nord d’Italia. </w:t>
      </w:r>
    </w:p>
    <w:p w14:paraId="58D7CF9A" w14:textId="7953AF64" w:rsidR="002D3C77" w:rsidRDefault="00FA7550" w:rsidP="00050D69">
      <w:pPr>
        <w:spacing w:after="120"/>
        <w:jc w:val="both"/>
        <w:outlineLvl w:val="0"/>
        <w:rPr>
          <w:rFonts w:ascii="Arial" w:hAnsi="Arial" w:cs="Arial"/>
          <w:sz w:val="22"/>
          <w:szCs w:val="22"/>
        </w:rPr>
      </w:pPr>
      <w:r w:rsidRPr="00351482">
        <w:rPr>
          <w:rFonts w:ascii="Arial" w:hAnsi="Arial" w:cs="Arial"/>
          <w:sz w:val="22"/>
          <w:szCs w:val="22"/>
        </w:rPr>
        <w:t>Anche la preferenza verso la procedura ex art.12</w:t>
      </w:r>
      <w:r w:rsidR="00351482" w:rsidRPr="00351482">
        <w:rPr>
          <w:rFonts w:ascii="Arial" w:hAnsi="Arial" w:cs="Arial"/>
          <w:sz w:val="22"/>
          <w:szCs w:val="22"/>
        </w:rPr>
        <w:t xml:space="preserve"> (direttamente presso lo Stato Civile)</w:t>
      </w:r>
      <w:r w:rsidRPr="00351482">
        <w:rPr>
          <w:rFonts w:ascii="Arial" w:hAnsi="Arial" w:cs="Arial"/>
          <w:sz w:val="22"/>
          <w:szCs w:val="22"/>
        </w:rPr>
        <w:t xml:space="preserve"> o </w:t>
      </w:r>
      <w:r w:rsidR="002D3C77" w:rsidRPr="00351482">
        <w:rPr>
          <w:rFonts w:ascii="Arial" w:hAnsi="Arial" w:cs="Arial"/>
          <w:sz w:val="22"/>
          <w:szCs w:val="22"/>
        </w:rPr>
        <w:t xml:space="preserve">verso </w:t>
      </w:r>
      <w:r w:rsidRPr="00351482">
        <w:rPr>
          <w:rFonts w:ascii="Arial" w:hAnsi="Arial" w:cs="Arial"/>
          <w:sz w:val="22"/>
          <w:szCs w:val="22"/>
        </w:rPr>
        <w:t xml:space="preserve">quella ex art.6 </w:t>
      </w:r>
      <w:r w:rsidR="00351482" w:rsidRPr="00351482">
        <w:rPr>
          <w:rFonts w:ascii="Arial" w:hAnsi="Arial" w:cs="Arial"/>
          <w:sz w:val="22"/>
          <w:szCs w:val="22"/>
        </w:rPr>
        <w:t xml:space="preserve">(negoziazioni assistite da avvocati) </w:t>
      </w:r>
      <w:r w:rsidR="002D3C77" w:rsidRPr="00351482">
        <w:rPr>
          <w:rFonts w:ascii="Arial" w:hAnsi="Arial" w:cs="Arial"/>
          <w:sz w:val="22"/>
          <w:szCs w:val="22"/>
        </w:rPr>
        <w:t xml:space="preserve">varia sul territorio nazionale </w:t>
      </w:r>
      <w:r w:rsidR="00AF174E" w:rsidRPr="00351482">
        <w:rPr>
          <w:rFonts w:ascii="Arial" w:hAnsi="Arial" w:cs="Arial"/>
          <w:sz w:val="22"/>
          <w:szCs w:val="22"/>
        </w:rPr>
        <w:t xml:space="preserve">(Figura </w:t>
      </w:r>
      <w:r w:rsidR="008C734B">
        <w:rPr>
          <w:rFonts w:ascii="Arial" w:hAnsi="Arial" w:cs="Arial"/>
          <w:sz w:val="22"/>
          <w:szCs w:val="22"/>
        </w:rPr>
        <w:t>8</w:t>
      </w:r>
      <w:r w:rsidR="00AF174E" w:rsidRPr="00351482">
        <w:rPr>
          <w:rFonts w:ascii="Arial" w:hAnsi="Arial" w:cs="Arial"/>
          <w:sz w:val="22"/>
          <w:szCs w:val="22"/>
        </w:rPr>
        <w:t>)</w:t>
      </w:r>
      <w:r w:rsidRPr="00351482">
        <w:rPr>
          <w:rFonts w:ascii="Arial" w:hAnsi="Arial" w:cs="Arial"/>
          <w:sz w:val="22"/>
          <w:szCs w:val="22"/>
        </w:rPr>
        <w:t xml:space="preserve">. </w:t>
      </w:r>
      <w:r w:rsidR="00B64C7B" w:rsidRPr="00351482">
        <w:rPr>
          <w:rFonts w:ascii="Arial" w:hAnsi="Arial" w:cs="Arial"/>
          <w:sz w:val="22"/>
          <w:szCs w:val="22"/>
        </w:rPr>
        <w:t>Le regioni in cui il ricorso alle procedure ex art. 12 è più diffuso, con il vincolo di tutte le condizioni già ricordate, sono la Val</w:t>
      </w:r>
      <w:r w:rsidR="00AE2AA2" w:rsidRPr="00351482">
        <w:rPr>
          <w:rFonts w:ascii="Arial" w:hAnsi="Arial" w:cs="Arial"/>
          <w:sz w:val="22"/>
          <w:szCs w:val="22"/>
        </w:rPr>
        <w:t>le</w:t>
      </w:r>
      <w:r w:rsidR="00B64C7B" w:rsidRPr="00351482">
        <w:rPr>
          <w:rFonts w:ascii="Arial" w:hAnsi="Arial" w:cs="Arial"/>
          <w:sz w:val="22"/>
          <w:szCs w:val="22"/>
        </w:rPr>
        <w:t xml:space="preserve"> d’Aosta</w:t>
      </w:r>
      <w:r w:rsidR="00364DDF">
        <w:rPr>
          <w:rFonts w:ascii="Arial" w:hAnsi="Arial" w:cs="Arial"/>
          <w:sz w:val="22"/>
          <w:szCs w:val="22"/>
        </w:rPr>
        <w:t>/</w:t>
      </w:r>
      <w:r w:rsidR="00364DDF" w:rsidRPr="007F7C82">
        <w:rPr>
          <w:rFonts w:ascii="Arial" w:hAnsi="Arial" w:cs="Arial"/>
          <w:sz w:val="22"/>
          <w:szCs w:val="22"/>
        </w:rPr>
        <w:t>Vallée d'Aoste</w:t>
      </w:r>
      <w:r w:rsidR="00B64C7B" w:rsidRPr="00351482">
        <w:rPr>
          <w:rFonts w:ascii="Arial" w:hAnsi="Arial" w:cs="Arial"/>
          <w:sz w:val="22"/>
          <w:szCs w:val="22"/>
        </w:rPr>
        <w:t xml:space="preserve"> (3</w:t>
      </w:r>
      <w:r w:rsidR="00401E9C">
        <w:rPr>
          <w:rFonts w:ascii="Arial" w:hAnsi="Arial" w:cs="Arial"/>
          <w:sz w:val="22"/>
          <w:szCs w:val="22"/>
        </w:rPr>
        <w:t>9</w:t>
      </w:r>
      <w:r w:rsidR="00B64C7B" w:rsidRPr="00351482">
        <w:rPr>
          <w:rFonts w:ascii="Arial" w:hAnsi="Arial" w:cs="Arial"/>
          <w:sz w:val="22"/>
          <w:szCs w:val="22"/>
        </w:rPr>
        <w:t>,</w:t>
      </w:r>
      <w:r w:rsidR="00401E9C">
        <w:rPr>
          <w:rFonts w:ascii="Arial" w:hAnsi="Arial" w:cs="Arial"/>
          <w:sz w:val="22"/>
          <w:szCs w:val="22"/>
        </w:rPr>
        <w:t>7</w:t>
      </w:r>
      <w:r w:rsidR="00B64C7B" w:rsidRPr="00351482">
        <w:rPr>
          <w:rFonts w:ascii="Arial" w:hAnsi="Arial" w:cs="Arial"/>
          <w:sz w:val="22"/>
          <w:szCs w:val="22"/>
        </w:rPr>
        <w:t>%), la provincia autonoma di Bolzano (3</w:t>
      </w:r>
      <w:r w:rsidR="00401E9C">
        <w:rPr>
          <w:rFonts w:ascii="Arial" w:hAnsi="Arial" w:cs="Arial"/>
          <w:sz w:val="22"/>
          <w:szCs w:val="22"/>
        </w:rPr>
        <w:t>5</w:t>
      </w:r>
      <w:r w:rsidR="00B64C7B" w:rsidRPr="00351482">
        <w:rPr>
          <w:rFonts w:ascii="Arial" w:hAnsi="Arial" w:cs="Arial"/>
          <w:sz w:val="22"/>
          <w:szCs w:val="22"/>
        </w:rPr>
        <w:t>,</w:t>
      </w:r>
      <w:r w:rsidR="00401E9C">
        <w:rPr>
          <w:rFonts w:ascii="Arial" w:hAnsi="Arial" w:cs="Arial"/>
          <w:sz w:val="22"/>
          <w:szCs w:val="22"/>
        </w:rPr>
        <w:t>3</w:t>
      </w:r>
      <w:r w:rsidR="00B64C7B" w:rsidRPr="00351482">
        <w:rPr>
          <w:rFonts w:ascii="Arial" w:hAnsi="Arial" w:cs="Arial"/>
          <w:sz w:val="22"/>
          <w:szCs w:val="22"/>
        </w:rPr>
        <w:t xml:space="preserve">%), </w:t>
      </w:r>
      <w:r w:rsidR="00401E9C">
        <w:rPr>
          <w:rFonts w:ascii="Arial" w:hAnsi="Arial" w:cs="Arial"/>
          <w:sz w:val="22"/>
          <w:szCs w:val="22"/>
        </w:rPr>
        <w:t xml:space="preserve">la provincia di Trento </w:t>
      </w:r>
      <w:r w:rsidR="00B64C7B" w:rsidRPr="00351482">
        <w:rPr>
          <w:rFonts w:ascii="Arial" w:hAnsi="Arial" w:cs="Arial"/>
          <w:sz w:val="22"/>
          <w:szCs w:val="22"/>
        </w:rPr>
        <w:t>(3</w:t>
      </w:r>
      <w:r w:rsidR="00401E9C">
        <w:rPr>
          <w:rFonts w:ascii="Arial" w:hAnsi="Arial" w:cs="Arial"/>
          <w:sz w:val="22"/>
          <w:szCs w:val="22"/>
        </w:rPr>
        <w:t>4</w:t>
      </w:r>
      <w:r w:rsidR="00B64C7B" w:rsidRPr="00351482">
        <w:rPr>
          <w:rFonts w:ascii="Arial" w:hAnsi="Arial" w:cs="Arial"/>
          <w:sz w:val="22"/>
          <w:szCs w:val="22"/>
        </w:rPr>
        <w:t>,</w:t>
      </w:r>
      <w:r w:rsidR="00401E9C">
        <w:rPr>
          <w:rFonts w:ascii="Arial" w:hAnsi="Arial" w:cs="Arial"/>
          <w:sz w:val="22"/>
          <w:szCs w:val="22"/>
        </w:rPr>
        <w:t>4</w:t>
      </w:r>
      <w:r w:rsidR="00B64C7B" w:rsidRPr="00351482">
        <w:rPr>
          <w:rFonts w:ascii="Arial" w:hAnsi="Arial" w:cs="Arial"/>
          <w:sz w:val="22"/>
          <w:szCs w:val="22"/>
        </w:rPr>
        <w:t xml:space="preserve">%) e </w:t>
      </w:r>
      <w:r w:rsidR="00401E9C">
        <w:rPr>
          <w:rFonts w:ascii="Arial" w:hAnsi="Arial" w:cs="Arial"/>
          <w:sz w:val="22"/>
          <w:szCs w:val="22"/>
        </w:rPr>
        <w:t>l’Emilia-Romagna</w:t>
      </w:r>
      <w:r w:rsidR="00B64C7B" w:rsidRPr="00351482">
        <w:rPr>
          <w:rFonts w:ascii="Arial" w:hAnsi="Arial" w:cs="Arial"/>
          <w:sz w:val="22"/>
          <w:szCs w:val="22"/>
        </w:rPr>
        <w:t xml:space="preserve"> (3</w:t>
      </w:r>
      <w:r w:rsidR="00401E9C">
        <w:rPr>
          <w:rFonts w:ascii="Arial" w:hAnsi="Arial" w:cs="Arial"/>
          <w:sz w:val="22"/>
          <w:szCs w:val="22"/>
        </w:rPr>
        <w:t>3</w:t>
      </w:r>
      <w:r w:rsidR="00B64C7B" w:rsidRPr="00351482">
        <w:rPr>
          <w:rFonts w:ascii="Arial" w:hAnsi="Arial" w:cs="Arial"/>
          <w:sz w:val="22"/>
          <w:szCs w:val="22"/>
        </w:rPr>
        <w:t>,</w:t>
      </w:r>
      <w:r w:rsidR="00401E9C">
        <w:rPr>
          <w:rFonts w:ascii="Arial" w:hAnsi="Arial" w:cs="Arial"/>
          <w:sz w:val="22"/>
          <w:szCs w:val="22"/>
        </w:rPr>
        <w:t>3</w:t>
      </w:r>
      <w:r w:rsidR="00B64C7B" w:rsidRPr="00351482">
        <w:rPr>
          <w:rFonts w:ascii="Arial" w:hAnsi="Arial" w:cs="Arial"/>
          <w:sz w:val="22"/>
          <w:szCs w:val="22"/>
        </w:rPr>
        <w:t>%).</w:t>
      </w:r>
      <w:r w:rsidR="002D3C77">
        <w:rPr>
          <w:rFonts w:ascii="Arial" w:hAnsi="Arial" w:cs="Arial"/>
          <w:sz w:val="22"/>
          <w:szCs w:val="22"/>
        </w:rPr>
        <w:t xml:space="preserve"> </w:t>
      </w:r>
    </w:p>
    <w:p w14:paraId="446CA678" w14:textId="1AC6F266" w:rsidR="00FA7550" w:rsidRDefault="000A3079" w:rsidP="00050D69">
      <w:pPr>
        <w:spacing w:after="120"/>
        <w:jc w:val="both"/>
        <w:outlineLvl w:val="0"/>
        <w:rPr>
          <w:rFonts w:ascii="Arial" w:hAnsi="Arial" w:cs="Arial"/>
          <w:sz w:val="22"/>
          <w:szCs w:val="22"/>
        </w:rPr>
      </w:pPr>
      <w:r>
        <w:rPr>
          <w:rFonts w:ascii="Arial" w:hAnsi="Arial" w:cs="Arial"/>
          <w:sz w:val="22"/>
          <w:szCs w:val="22"/>
        </w:rPr>
        <w:t>La quota di accordi ex</w:t>
      </w:r>
      <w:r w:rsidR="00FA7550" w:rsidRPr="00DF5621">
        <w:rPr>
          <w:rFonts w:ascii="Arial" w:hAnsi="Arial" w:cs="Arial"/>
          <w:sz w:val="22"/>
          <w:szCs w:val="22"/>
        </w:rPr>
        <w:t xml:space="preserve"> art</w:t>
      </w:r>
      <w:r>
        <w:rPr>
          <w:rFonts w:ascii="Arial" w:hAnsi="Arial" w:cs="Arial"/>
          <w:sz w:val="22"/>
          <w:szCs w:val="22"/>
        </w:rPr>
        <w:t>.</w:t>
      </w:r>
      <w:r w:rsidR="00FA7550" w:rsidRPr="00DF5621">
        <w:rPr>
          <w:rFonts w:ascii="Arial" w:hAnsi="Arial" w:cs="Arial"/>
          <w:sz w:val="22"/>
          <w:szCs w:val="22"/>
        </w:rPr>
        <w:t xml:space="preserve"> 6 raggiunge il suo valore massimo </w:t>
      </w:r>
      <w:r w:rsidR="00AE2AA2">
        <w:rPr>
          <w:rFonts w:ascii="Arial" w:hAnsi="Arial" w:cs="Arial"/>
          <w:sz w:val="22"/>
          <w:szCs w:val="22"/>
        </w:rPr>
        <w:t>nel Lazio (</w:t>
      </w:r>
      <w:r w:rsidR="004E2C34">
        <w:rPr>
          <w:rFonts w:ascii="Arial" w:hAnsi="Arial" w:cs="Arial"/>
          <w:sz w:val="22"/>
          <w:szCs w:val="22"/>
        </w:rPr>
        <w:t xml:space="preserve">21,0%), </w:t>
      </w:r>
      <w:r w:rsidR="00DF5621">
        <w:rPr>
          <w:rFonts w:ascii="Arial" w:hAnsi="Arial" w:cs="Arial"/>
          <w:sz w:val="22"/>
          <w:szCs w:val="22"/>
        </w:rPr>
        <w:t xml:space="preserve">in </w:t>
      </w:r>
      <w:r w:rsidR="004E2C34">
        <w:rPr>
          <w:rFonts w:ascii="Arial" w:hAnsi="Arial" w:cs="Arial"/>
          <w:sz w:val="22"/>
          <w:szCs w:val="22"/>
        </w:rPr>
        <w:t>Sicilia</w:t>
      </w:r>
      <w:r w:rsidR="00DF5621">
        <w:rPr>
          <w:rFonts w:ascii="Arial" w:hAnsi="Arial" w:cs="Arial"/>
          <w:sz w:val="22"/>
          <w:szCs w:val="22"/>
        </w:rPr>
        <w:t xml:space="preserve"> (</w:t>
      </w:r>
      <w:r w:rsidR="00AE2AA2">
        <w:rPr>
          <w:rFonts w:ascii="Arial" w:hAnsi="Arial" w:cs="Arial"/>
          <w:sz w:val="22"/>
          <w:szCs w:val="22"/>
        </w:rPr>
        <w:t>1</w:t>
      </w:r>
      <w:r w:rsidR="004E2C34">
        <w:rPr>
          <w:rFonts w:ascii="Arial" w:hAnsi="Arial" w:cs="Arial"/>
          <w:sz w:val="22"/>
          <w:szCs w:val="22"/>
        </w:rPr>
        <w:t>3</w:t>
      </w:r>
      <w:r w:rsidR="00AE2AA2">
        <w:rPr>
          <w:rFonts w:ascii="Arial" w:hAnsi="Arial" w:cs="Arial"/>
          <w:sz w:val="22"/>
          <w:szCs w:val="22"/>
        </w:rPr>
        <w:t>,</w:t>
      </w:r>
      <w:r w:rsidR="004E2C34">
        <w:rPr>
          <w:rFonts w:ascii="Arial" w:hAnsi="Arial" w:cs="Arial"/>
          <w:sz w:val="22"/>
          <w:szCs w:val="22"/>
        </w:rPr>
        <w:t>6</w:t>
      </w:r>
      <w:r w:rsidR="00AE2AA2">
        <w:rPr>
          <w:rFonts w:ascii="Arial" w:hAnsi="Arial" w:cs="Arial"/>
          <w:sz w:val="22"/>
          <w:szCs w:val="22"/>
        </w:rPr>
        <w:t xml:space="preserve">%), </w:t>
      </w:r>
      <w:r w:rsidR="00DF5621">
        <w:rPr>
          <w:rFonts w:ascii="Arial" w:hAnsi="Arial" w:cs="Arial"/>
          <w:sz w:val="22"/>
          <w:szCs w:val="22"/>
        </w:rPr>
        <w:t>Campania (</w:t>
      </w:r>
      <w:r w:rsidR="009479AE">
        <w:rPr>
          <w:rFonts w:ascii="Arial" w:hAnsi="Arial" w:cs="Arial"/>
          <w:sz w:val="22"/>
          <w:szCs w:val="22"/>
        </w:rPr>
        <w:t>1</w:t>
      </w:r>
      <w:r w:rsidR="004E2C34">
        <w:rPr>
          <w:rFonts w:ascii="Arial" w:hAnsi="Arial" w:cs="Arial"/>
          <w:sz w:val="22"/>
          <w:szCs w:val="22"/>
        </w:rPr>
        <w:t>2</w:t>
      </w:r>
      <w:r w:rsidR="00DF5621">
        <w:rPr>
          <w:rFonts w:ascii="Arial" w:hAnsi="Arial" w:cs="Arial"/>
          <w:sz w:val="22"/>
          <w:szCs w:val="22"/>
        </w:rPr>
        <w:t>,</w:t>
      </w:r>
      <w:r w:rsidR="004E2C34">
        <w:rPr>
          <w:rFonts w:ascii="Arial" w:hAnsi="Arial" w:cs="Arial"/>
          <w:sz w:val="22"/>
          <w:szCs w:val="22"/>
        </w:rPr>
        <w:t>5</w:t>
      </w:r>
      <w:r w:rsidR="00AE2AA2">
        <w:rPr>
          <w:rFonts w:ascii="Arial" w:hAnsi="Arial" w:cs="Arial"/>
          <w:sz w:val="22"/>
          <w:szCs w:val="22"/>
        </w:rPr>
        <w:t xml:space="preserve">%) e </w:t>
      </w:r>
      <w:r w:rsidR="004E2C34">
        <w:rPr>
          <w:rFonts w:ascii="Arial" w:hAnsi="Arial" w:cs="Arial"/>
          <w:sz w:val="22"/>
          <w:szCs w:val="22"/>
        </w:rPr>
        <w:t>Toscana</w:t>
      </w:r>
      <w:r w:rsidR="009479AE">
        <w:rPr>
          <w:rFonts w:ascii="Arial" w:hAnsi="Arial" w:cs="Arial"/>
          <w:sz w:val="22"/>
          <w:szCs w:val="22"/>
        </w:rPr>
        <w:t xml:space="preserve"> (1</w:t>
      </w:r>
      <w:r w:rsidR="004E2C34">
        <w:rPr>
          <w:rFonts w:ascii="Arial" w:hAnsi="Arial" w:cs="Arial"/>
          <w:sz w:val="22"/>
          <w:szCs w:val="22"/>
        </w:rPr>
        <w:t>2</w:t>
      </w:r>
      <w:r w:rsidR="009479AE">
        <w:rPr>
          <w:rFonts w:ascii="Arial" w:hAnsi="Arial" w:cs="Arial"/>
          <w:sz w:val="22"/>
          <w:szCs w:val="22"/>
        </w:rPr>
        <w:t>,</w:t>
      </w:r>
      <w:r w:rsidR="004E2C34">
        <w:rPr>
          <w:rFonts w:ascii="Arial" w:hAnsi="Arial" w:cs="Arial"/>
          <w:sz w:val="22"/>
          <w:szCs w:val="22"/>
        </w:rPr>
        <w:t>4</w:t>
      </w:r>
      <w:r w:rsidR="009479AE">
        <w:rPr>
          <w:rFonts w:ascii="Arial" w:hAnsi="Arial" w:cs="Arial"/>
          <w:sz w:val="22"/>
          <w:szCs w:val="22"/>
        </w:rPr>
        <w:t>%).</w:t>
      </w:r>
    </w:p>
    <w:p w14:paraId="55F1EF23" w14:textId="44F330FF" w:rsidR="0089585C" w:rsidRDefault="00C55622" w:rsidP="0089585C">
      <w:pPr>
        <w:spacing w:after="120"/>
        <w:jc w:val="both"/>
        <w:outlineLvl w:val="0"/>
        <w:rPr>
          <w:rFonts w:ascii="Arial" w:hAnsi="Arial" w:cs="Arial"/>
          <w:sz w:val="22"/>
          <w:szCs w:val="22"/>
        </w:rPr>
      </w:pPr>
      <w:r>
        <w:rPr>
          <w:rFonts w:ascii="Arial" w:hAnsi="Arial" w:cs="Arial"/>
          <w:sz w:val="22"/>
          <w:szCs w:val="22"/>
        </w:rPr>
        <w:t>Sul</w:t>
      </w:r>
      <w:r w:rsidR="009479AE">
        <w:rPr>
          <w:rFonts w:ascii="Arial" w:hAnsi="Arial" w:cs="Arial"/>
          <w:sz w:val="22"/>
          <w:szCs w:val="22"/>
        </w:rPr>
        <w:t xml:space="preserve"> versante dei divorzi consensuali conclusi in tribunale, le regioni in cui </w:t>
      </w:r>
      <w:r>
        <w:rPr>
          <w:rFonts w:ascii="Arial" w:hAnsi="Arial" w:cs="Arial"/>
          <w:sz w:val="22"/>
          <w:szCs w:val="22"/>
        </w:rPr>
        <w:t xml:space="preserve">trovano maggiore </w:t>
      </w:r>
      <w:r w:rsidR="009479AE">
        <w:rPr>
          <w:rFonts w:ascii="Arial" w:hAnsi="Arial" w:cs="Arial"/>
          <w:sz w:val="22"/>
          <w:szCs w:val="22"/>
        </w:rPr>
        <w:t>diffusi</w:t>
      </w:r>
      <w:r>
        <w:rPr>
          <w:rFonts w:ascii="Arial" w:hAnsi="Arial" w:cs="Arial"/>
          <w:sz w:val="22"/>
          <w:szCs w:val="22"/>
        </w:rPr>
        <w:t>one</w:t>
      </w:r>
      <w:r w:rsidR="009479AE">
        <w:rPr>
          <w:rFonts w:ascii="Arial" w:hAnsi="Arial" w:cs="Arial"/>
          <w:sz w:val="22"/>
          <w:szCs w:val="22"/>
        </w:rPr>
        <w:t xml:space="preserve"> sono </w:t>
      </w:r>
      <w:r w:rsidR="00D2396C">
        <w:rPr>
          <w:rFonts w:ascii="Arial" w:hAnsi="Arial" w:cs="Arial"/>
          <w:sz w:val="22"/>
          <w:szCs w:val="22"/>
        </w:rPr>
        <w:t>la provincia autonoma di Bolzano</w:t>
      </w:r>
      <w:r w:rsidR="00F6604A">
        <w:rPr>
          <w:rFonts w:ascii="Arial" w:hAnsi="Arial" w:cs="Arial"/>
          <w:sz w:val="22"/>
          <w:szCs w:val="22"/>
        </w:rPr>
        <w:t>/Bozen</w:t>
      </w:r>
      <w:r w:rsidR="00D2396C">
        <w:rPr>
          <w:rFonts w:ascii="Arial" w:hAnsi="Arial" w:cs="Arial"/>
          <w:sz w:val="22"/>
          <w:szCs w:val="22"/>
        </w:rPr>
        <w:t xml:space="preserve"> (53,9%</w:t>
      </w:r>
      <w:r w:rsidR="00811B76" w:rsidRPr="00811B76">
        <w:rPr>
          <w:rFonts w:ascii="Arial" w:hAnsi="Arial" w:cs="Arial"/>
          <w:sz w:val="22"/>
          <w:szCs w:val="22"/>
        </w:rPr>
        <w:t xml:space="preserve"> </w:t>
      </w:r>
      <w:r w:rsidR="00811B76">
        <w:rPr>
          <w:rFonts w:ascii="Arial" w:hAnsi="Arial" w:cs="Arial"/>
          <w:sz w:val="22"/>
          <w:szCs w:val="22"/>
        </w:rPr>
        <w:t>sul totale dei divorzi</w:t>
      </w:r>
      <w:r w:rsidR="00D2396C">
        <w:rPr>
          <w:rFonts w:ascii="Arial" w:hAnsi="Arial" w:cs="Arial"/>
          <w:sz w:val="22"/>
          <w:szCs w:val="22"/>
        </w:rPr>
        <w:t xml:space="preserve">), </w:t>
      </w:r>
      <w:r w:rsidR="009479AE">
        <w:rPr>
          <w:rFonts w:ascii="Arial" w:hAnsi="Arial" w:cs="Arial"/>
          <w:sz w:val="22"/>
          <w:szCs w:val="22"/>
        </w:rPr>
        <w:t>la Basilicata (5</w:t>
      </w:r>
      <w:r w:rsidR="00D2396C">
        <w:rPr>
          <w:rFonts w:ascii="Arial" w:hAnsi="Arial" w:cs="Arial"/>
          <w:sz w:val="22"/>
          <w:szCs w:val="22"/>
        </w:rPr>
        <w:t>1</w:t>
      </w:r>
      <w:r w:rsidR="009479AE">
        <w:rPr>
          <w:rFonts w:ascii="Arial" w:hAnsi="Arial" w:cs="Arial"/>
          <w:sz w:val="22"/>
          <w:szCs w:val="22"/>
        </w:rPr>
        <w:t>,</w:t>
      </w:r>
      <w:r w:rsidR="00D2396C">
        <w:rPr>
          <w:rFonts w:ascii="Arial" w:hAnsi="Arial" w:cs="Arial"/>
          <w:sz w:val="22"/>
          <w:szCs w:val="22"/>
        </w:rPr>
        <w:t xml:space="preserve">3%), </w:t>
      </w:r>
      <w:r w:rsidR="009479AE">
        <w:rPr>
          <w:rFonts w:ascii="Arial" w:hAnsi="Arial" w:cs="Arial"/>
          <w:sz w:val="22"/>
          <w:szCs w:val="22"/>
        </w:rPr>
        <w:t>le Marche (4</w:t>
      </w:r>
      <w:r w:rsidR="00D2396C">
        <w:rPr>
          <w:rFonts w:ascii="Arial" w:hAnsi="Arial" w:cs="Arial"/>
          <w:sz w:val="22"/>
          <w:szCs w:val="22"/>
        </w:rPr>
        <w:t>7</w:t>
      </w:r>
      <w:r w:rsidR="009479AE">
        <w:rPr>
          <w:rFonts w:ascii="Arial" w:hAnsi="Arial" w:cs="Arial"/>
          <w:sz w:val="22"/>
          <w:szCs w:val="22"/>
        </w:rPr>
        <w:t>,7%)</w:t>
      </w:r>
      <w:r w:rsidR="00D2396C">
        <w:rPr>
          <w:rFonts w:ascii="Arial" w:hAnsi="Arial" w:cs="Arial"/>
          <w:sz w:val="22"/>
          <w:szCs w:val="22"/>
        </w:rPr>
        <w:t xml:space="preserve"> e l’Umbria (45,2%)</w:t>
      </w:r>
      <w:r w:rsidR="009479AE">
        <w:rPr>
          <w:rFonts w:ascii="Arial" w:hAnsi="Arial" w:cs="Arial"/>
          <w:sz w:val="22"/>
          <w:szCs w:val="22"/>
        </w:rPr>
        <w:t>.</w:t>
      </w:r>
    </w:p>
    <w:p w14:paraId="08D0BE00" w14:textId="36D7CD6C" w:rsidR="00BB7B0E" w:rsidRDefault="00BB7B0E" w:rsidP="00BB7B0E">
      <w:pPr>
        <w:spacing w:after="120"/>
        <w:jc w:val="both"/>
        <w:outlineLvl w:val="0"/>
        <w:rPr>
          <w:rFonts w:ascii="Arial" w:hAnsi="Arial" w:cs="Arial"/>
          <w:sz w:val="22"/>
          <w:szCs w:val="22"/>
        </w:rPr>
      </w:pPr>
      <w:r>
        <w:rPr>
          <w:rFonts w:ascii="Arial" w:hAnsi="Arial" w:cs="Arial"/>
          <w:sz w:val="22"/>
          <w:szCs w:val="22"/>
        </w:rPr>
        <w:t>Il ricorso ai divorzi giudiziari è</w:t>
      </w:r>
      <w:r w:rsidR="00F20A4F">
        <w:rPr>
          <w:rFonts w:ascii="Arial" w:hAnsi="Arial" w:cs="Arial"/>
          <w:sz w:val="22"/>
          <w:szCs w:val="22"/>
        </w:rPr>
        <w:t xml:space="preserve"> invece</w:t>
      </w:r>
      <w:r>
        <w:rPr>
          <w:rFonts w:ascii="Arial" w:hAnsi="Arial" w:cs="Arial"/>
          <w:sz w:val="22"/>
          <w:szCs w:val="22"/>
        </w:rPr>
        <w:t xml:space="preserve"> maggiore nei Tribunali </w:t>
      </w:r>
      <w:r w:rsidR="00F20A4F">
        <w:rPr>
          <w:rFonts w:ascii="Arial" w:hAnsi="Arial" w:cs="Arial"/>
          <w:sz w:val="22"/>
          <w:szCs w:val="22"/>
        </w:rPr>
        <w:t xml:space="preserve">di </w:t>
      </w:r>
      <w:r>
        <w:rPr>
          <w:rFonts w:ascii="Arial" w:hAnsi="Arial" w:cs="Arial"/>
          <w:sz w:val="22"/>
          <w:szCs w:val="22"/>
        </w:rPr>
        <w:t>Sardegna (42,7%), Calabria (42,3%), Puglia (38,8%) e Campania (37,9%).</w:t>
      </w:r>
    </w:p>
    <w:p w14:paraId="4B15AB3D" w14:textId="4D5A4C9B" w:rsidR="00BB7B0E" w:rsidRDefault="00BB7B0E" w:rsidP="00BB7B0E">
      <w:pPr>
        <w:spacing w:after="120"/>
        <w:jc w:val="both"/>
        <w:outlineLvl w:val="0"/>
        <w:rPr>
          <w:rFonts w:ascii="Arial" w:hAnsi="Arial" w:cs="Arial"/>
          <w:sz w:val="22"/>
          <w:szCs w:val="22"/>
        </w:rPr>
      </w:pPr>
      <w:r>
        <w:rPr>
          <w:rFonts w:ascii="Arial" w:hAnsi="Arial" w:cs="Arial"/>
          <w:sz w:val="22"/>
          <w:szCs w:val="22"/>
        </w:rPr>
        <w:t xml:space="preserve">Considerando i divorzi per 100mila coniugati, le regioni in cima alla graduatoria sono Liguria (320,4), Piemonte (293,2) </w:t>
      </w:r>
      <w:r w:rsidR="00FA36AC">
        <w:rPr>
          <w:rFonts w:ascii="Arial" w:hAnsi="Arial" w:cs="Arial"/>
          <w:sz w:val="22"/>
          <w:szCs w:val="22"/>
        </w:rPr>
        <w:t xml:space="preserve">e Friuli-Venezia Giulia (289,1). </w:t>
      </w:r>
      <w:r w:rsidR="00F20A4F">
        <w:rPr>
          <w:rFonts w:ascii="Arial" w:hAnsi="Arial" w:cs="Arial"/>
          <w:sz w:val="22"/>
          <w:szCs w:val="22"/>
        </w:rPr>
        <w:t>A livello nazionale l</w:t>
      </w:r>
      <w:r>
        <w:rPr>
          <w:rFonts w:ascii="Arial" w:hAnsi="Arial" w:cs="Arial"/>
          <w:sz w:val="22"/>
          <w:szCs w:val="22"/>
        </w:rPr>
        <w:t xml:space="preserve">’indicatore è pari a 240,0, anch’esso in diminuzione </w:t>
      </w:r>
      <w:r w:rsidR="00F20A4F">
        <w:rPr>
          <w:rFonts w:ascii="Arial" w:hAnsi="Arial" w:cs="Arial"/>
          <w:sz w:val="22"/>
          <w:szCs w:val="22"/>
        </w:rPr>
        <w:t xml:space="preserve">nel 2020 </w:t>
      </w:r>
      <w:r>
        <w:rPr>
          <w:rFonts w:ascii="Arial" w:hAnsi="Arial" w:cs="Arial"/>
          <w:sz w:val="22"/>
          <w:szCs w:val="22"/>
        </w:rPr>
        <w:t>rispetto agli anni precedenti.</w:t>
      </w:r>
    </w:p>
    <w:p w14:paraId="49B74A70" w14:textId="77777777" w:rsidR="00EA2144" w:rsidRPr="00155C7A" w:rsidRDefault="00EA2144" w:rsidP="00BB7B0E">
      <w:pPr>
        <w:spacing w:after="120"/>
        <w:jc w:val="both"/>
        <w:outlineLvl w:val="0"/>
        <w:rPr>
          <w:rFonts w:ascii="Arial" w:hAnsi="Arial" w:cs="Arial"/>
          <w:sz w:val="36"/>
          <w:szCs w:val="36"/>
        </w:rPr>
      </w:pPr>
    </w:p>
    <w:p w14:paraId="346172CE" w14:textId="0B63B141" w:rsidR="00DF1DEB" w:rsidRPr="00401E9C" w:rsidRDefault="00AE7FBC" w:rsidP="00714AFD">
      <w:pPr>
        <w:autoSpaceDE w:val="0"/>
        <w:autoSpaceDN w:val="0"/>
        <w:adjustRightInd w:val="0"/>
        <w:spacing w:after="240"/>
        <w:rPr>
          <w:rFonts w:ascii="Arial Narrow" w:hAnsi="Arial Narrow" w:cs="Arial"/>
          <w:b/>
          <w:iCs/>
          <w:noProof/>
          <w:color w:val="1F497D" w:themeColor="text2"/>
          <w:sz w:val="22"/>
          <w:szCs w:val="22"/>
        </w:rPr>
      </w:pPr>
      <w:r w:rsidRPr="00351482">
        <w:rPr>
          <w:rFonts w:ascii="Arial Black" w:hAnsi="Arial Black" w:cs="Arial"/>
          <w:iCs/>
          <w:noProof/>
          <w:color w:val="1F497D" w:themeColor="text2"/>
          <w:sz w:val="22"/>
          <w:szCs w:val="22"/>
        </w:rPr>
        <w:t xml:space="preserve">FIGURA </w:t>
      </w:r>
      <w:r w:rsidR="004975C0">
        <w:rPr>
          <w:rFonts w:ascii="Arial Black" w:hAnsi="Arial Black" w:cs="Arial"/>
          <w:iCs/>
          <w:noProof/>
          <w:color w:val="1F497D" w:themeColor="text2"/>
          <w:sz w:val="22"/>
          <w:szCs w:val="22"/>
        </w:rPr>
        <w:t>8</w:t>
      </w:r>
      <w:r w:rsidRPr="0076250A">
        <w:rPr>
          <w:rFonts w:ascii="Arial Black" w:hAnsi="Arial Black" w:cs="Arial"/>
          <w:iCs/>
          <w:noProof/>
          <w:color w:val="1F497D" w:themeColor="text2"/>
          <w:sz w:val="22"/>
          <w:szCs w:val="22"/>
        </w:rPr>
        <w:t>.</w:t>
      </w:r>
      <w:r>
        <w:rPr>
          <w:rFonts w:ascii="Arial Narrow" w:hAnsi="Arial Narrow" w:cs="Arial"/>
          <w:b/>
          <w:iCs/>
          <w:noProof/>
          <w:color w:val="1F497D" w:themeColor="text2"/>
          <w:sz w:val="22"/>
          <w:szCs w:val="22"/>
        </w:rPr>
        <w:t xml:space="preserve"> </w:t>
      </w:r>
      <w:r w:rsidR="00DF1DEB">
        <w:rPr>
          <w:rFonts w:ascii="Arial Narrow" w:hAnsi="Arial Narrow" w:cs="Arial"/>
          <w:b/>
          <w:iCs/>
          <w:noProof/>
          <w:color w:val="1F497D" w:themeColor="text2"/>
          <w:sz w:val="22"/>
          <w:szCs w:val="22"/>
        </w:rPr>
        <w:t>DIVORZI</w:t>
      </w:r>
      <w:r w:rsidR="00DF1DEB" w:rsidRPr="00FA7550">
        <w:t xml:space="preserve"> </w:t>
      </w:r>
      <w:r w:rsidR="00DF1DEB" w:rsidRPr="00FA7550">
        <w:rPr>
          <w:rFonts w:ascii="Arial Narrow" w:hAnsi="Arial Narrow" w:cs="Arial"/>
          <w:b/>
          <w:iCs/>
          <w:noProof/>
          <w:color w:val="1F497D" w:themeColor="text2"/>
          <w:sz w:val="22"/>
          <w:szCs w:val="22"/>
        </w:rPr>
        <w:t>PER RITO DI</w:t>
      </w:r>
      <w:r w:rsidR="00DF1DEB">
        <w:rPr>
          <w:rFonts w:ascii="Arial Narrow" w:hAnsi="Arial Narrow" w:cs="Arial"/>
          <w:b/>
          <w:iCs/>
          <w:noProof/>
          <w:color w:val="1F497D" w:themeColor="text2"/>
          <w:sz w:val="22"/>
          <w:szCs w:val="22"/>
        </w:rPr>
        <w:t xml:space="preserve"> ESAURIMENTO DEL PROCEDIMENTO, </w:t>
      </w:r>
      <w:r w:rsidR="00DF1DEB" w:rsidRPr="00FA7550">
        <w:rPr>
          <w:rFonts w:ascii="Arial Narrow" w:hAnsi="Arial Narrow" w:cs="Arial"/>
          <w:b/>
          <w:iCs/>
          <w:noProof/>
          <w:color w:val="1F497D" w:themeColor="text2"/>
          <w:sz w:val="22"/>
          <w:szCs w:val="22"/>
        </w:rPr>
        <w:t>TIP</w:t>
      </w:r>
      <w:r w:rsidR="00DF1DEB">
        <w:rPr>
          <w:rFonts w:ascii="Arial Narrow" w:hAnsi="Arial Narrow" w:cs="Arial"/>
          <w:b/>
          <w:iCs/>
          <w:noProof/>
          <w:color w:val="1F497D" w:themeColor="text2"/>
          <w:sz w:val="22"/>
          <w:szCs w:val="22"/>
        </w:rPr>
        <w:t xml:space="preserve">O DI ACCORDO E REGIONE. </w:t>
      </w:r>
      <w:r w:rsidR="00DF1DEB" w:rsidRPr="0065736C">
        <w:rPr>
          <w:rFonts w:ascii="Arial Narrow" w:hAnsi="Arial Narrow" w:cs="Arial"/>
          <w:color w:val="1F497D" w:themeColor="text2"/>
          <w:sz w:val="22"/>
          <w:szCs w:val="22"/>
        </w:rPr>
        <w:t>A</w:t>
      </w:r>
      <w:r w:rsidR="00DF1DEB">
        <w:rPr>
          <w:rFonts w:ascii="Arial Narrow" w:hAnsi="Arial Narrow" w:cs="Arial"/>
          <w:color w:val="1F497D" w:themeColor="text2"/>
          <w:sz w:val="22"/>
          <w:szCs w:val="22"/>
        </w:rPr>
        <w:t>nno 20</w:t>
      </w:r>
      <w:r w:rsidR="00401E9C">
        <w:rPr>
          <w:rFonts w:ascii="Arial Narrow" w:hAnsi="Arial Narrow" w:cs="Arial"/>
          <w:color w:val="1F497D" w:themeColor="text2"/>
          <w:sz w:val="22"/>
          <w:szCs w:val="22"/>
        </w:rPr>
        <w:t>20</w:t>
      </w:r>
      <w:r w:rsidR="00DF1DEB" w:rsidRPr="0065736C">
        <w:rPr>
          <w:rFonts w:ascii="Arial Narrow" w:hAnsi="Arial Narrow" w:cs="Arial"/>
          <w:color w:val="1F497D" w:themeColor="text2"/>
          <w:sz w:val="22"/>
          <w:szCs w:val="22"/>
        </w:rPr>
        <w:t xml:space="preserve">, </w:t>
      </w:r>
      <w:r w:rsidR="00AE2AA2">
        <w:rPr>
          <w:rFonts w:ascii="Arial Narrow" w:hAnsi="Arial Narrow" w:cs="Arial"/>
          <w:color w:val="1F497D" w:themeColor="text2"/>
          <w:sz w:val="22"/>
          <w:szCs w:val="22"/>
        </w:rPr>
        <w:t xml:space="preserve">composizione percentuale e </w:t>
      </w:r>
      <w:r w:rsidR="008662E5">
        <w:rPr>
          <w:rFonts w:ascii="Arial Narrow" w:hAnsi="Arial Narrow" w:cs="Arial"/>
          <w:color w:val="1F497D" w:themeColor="text2"/>
          <w:sz w:val="22"/>
          <w:szCs w:val="22"/>
        </w:rPr>
        <w:t>per 100</w:t>
      </w:r>
      <w:r w:rsidR="00823500">
        <w:rPr>
          <w:rFonts w:ascii="Arial Narrow" w:hAnsi="Arial Narrow" w:cs="Arial"/>
          <w:color w:val="1F497D" w:themeColor="text2"/>
          <w:sz w:val="22"/>
          <w:szCs w:val="22"/>
        </w:rPr>
        <w:t>mila</w:t>
      </w:r>
      <w:r w:rsidR="008662E5">
        <w:rPr>
          <w:rFonts w:ascii="Arial Narrow" w:hAnsi="Arial Narrow" w:cs="Arial"/>
          <w:color w:val="1F497D" w:themeColor="text2"/>
          <w:sz w:val="22"/>
          <w:szCs w:val="22"/>
        </w:rPr>
        <w:t xml:space="preserve"> coniugati</w:t>
      </w:r>
      <w:r w:rsidR="00DF1DEB">
        <w:rPr>
          <w:rFonts w:ascii="Arial Narrow" w:hAnsi="Arial Narrow" w:cs="Arial"/>
          <w:color w:val="1F497D" w:themeColor="text2"/>
          <w:sz w:val="22"/>
          <w:szCs w:val="22"/>
        </w:rPr>
        <w:t xml:space="preserve"> </w:t>
      </w:r>
    </w:p>
    <w:p w14:paraId="4F989E70" w14:textId="71407053" w:rsidR="00472DB8" w:rsidRDefault="00401E9C">
      <w:pPr>
        <w:rPr>
          <w:rFonts w:ascii="Arial Narrow" w:hAnsi="Arial Narrow" w:cs="Arial"/>
          <w:b/>
          <w:iCs/>
          <w:noProof/>
          <w:color w:val="1F497D" w:themeColor="text2"/>
          <w:sz w:val="22"/>
          <w:szCs w:val="22"/>
        </w:rPr>
      </w:pPr>
      <w:r>
        <w:rPr>
          <w:noProof/>
        </w:rPr>
        <w:drawing>
          <wp:inline distT="0" distB="0" distL="0" distR="0" wp14:anchorId="5022071B" wp14:editId="55A4DB57">
            <wp:extent cx="6290310" cy="2219325"/>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72DB8">
        <w:rPr>
          <w:rFonts w:ascii="Arial Narrow" w:hAnsi="Arial Narrow" w:cs="Arial"/>
          <w:b/>
          <w:iCs/>
          <w:noProof/>
          <w:color w:val="1F497D" w:themeColor="text2"/>
          <w:sz w:val="22"/>
          <w:szCs w:val="22"/>
        </w:rPr>
        <w:br w:type="page"/>
      </w:r>
    </w:p>
    <w:p w14:paraId="5EF90031" w14:textId="77777777" w:rsidR="0089585C" w:rsidRDefault="0089585C" w:rsidP="0089585C">
      <w:pPr>
        <w:spacing w:after="120"/>
        <w:jc w:val="both"/>
        <w:outlineLvl w:val="0"/>
        <w:rPr>
          <w:rFonts w:ascii="Arial" w:hAnsi="Arial" w:cs="Arial"/>
          <w:sz w:val="22"/>
          <w:szCs w:val="22"/>
        </w:rPr>
      </w:pPr>
    </w:p>
    <w:p w14:paraId="09082A80" w14:textId="2DB4FA42" w:rsidR="00AE7FBC" w:rsidRDefault="004975C0" w:rsidP="00472DB8">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Primi dati delle separazioni e dei divorzi</w:t>
      </w:r>
      <w:r w:rsidR="00B213CC">
        <w:rPr>
          <w:rFonts w:ascii="Arial" w:hAnsi="Arial" w:cs="Arial"/>
          <w:b/>
          <w:color w:val="1F497D" w:themeColor="text2"/>
          <w:sz w:val="26"/>
          <w:szCs w:val="26"/>
        </w:rPr>
        <w:t xml:space="preserve"> 2021</w:t>
      </w:r>
      <w:r>
        <w:rPr>
          <w:rFonts w:ascii="Arial" w:hAnsi="Arial" w:cs="Arial"/>
          <w:b/>
          <w:color w:val="1F497D" w:themeColor="text2"/>
          <w:sz w:val="26"/>
          <w:szCs w:val="26"/>
        </w:rPr>
        <w:t>: si torna ai livelli del 2019</w:t>
      </w:r>
    </w:p>
    <w:p w14:paraId="333E85CD" w14:textId="1EA6CFB1" w:rsidR="00823500" w:rsidRPr="0001203B" w:rsidRDefault="00457F4F" w:rsidP="00472DB8">
      <w:pPr>
        <w:autoSpaceDE w:val="0"/>
        <w:autoSpaceDN w:val="0"/>
        <w:adjustRightInd w:val="0"/>
        <w:spacing w:after="120"/>
        <w:jc w:val="both"/>
        <w:rPr>
          <w:rFonts w:ascii="Arial" w:hAnsi="Arial" w:cs="Arial"/>
          <w:sz w:val="22"/>
          <w:szCs w:val="22"/>
        </w:rPr>
      </w:pPr>
      <w:r>
        <w:rPr>
          <w:rFonts w:ascii="Arial" w:hAnsi="Arial" w:cs="Arial"/>
          <w:sz w:val="22"/>
          <w:szCs w:val="22"/>
        </w:rPr>
        <w:t xml:space="preserve">L’analisi </w:t>
      </w:r>
      <w:r w:rsidR="00EF51F2">
        <w:rPr>
          <w:rFonts w:ascii="Arial" w:hAnsi="Arial" w:cs="Arial"/>
          <w:sz w:val="22"/>
          <w:szCs w:val="22"/>
        </w:rPr>
        <w:t>dei primi nove mesi del 2</w:t>
      </w:r>
      <w:r w:rsidR="006D3D81">
        <w:rPr>
          <w:rFonts w:ascii="Arial" w:hAnsi="Arial" w:cs="Arial"/>
          <w:sz w:val="22"/>
          <w:szCs w:val="22"/>
        </w:rPr>
        <w:t>02</w:t>
      </w:r>
      <w:r w:rsidR="00EF51F2">
        <w:rPr>
          <w:rFonts w:ascii="Arial" w:hAnsi="Arial" w:cs="Arial"/>
          <w:sz w:val="22"/>
          <w:szCs w:val="22"/>
        </w:rPr>
        <w:t>1</w:t>
      </w:r>
      <w:r w:rsidR="00033568">
        <w:rPr>
          <w:rStyle w:val="Rimandonotadichiusura"/>
          <w:rFonts w:ascii="Arial" w:hAnsi="Arial" w:cs="Arial"/>
          <w:sz w:val="22"/>
          <w:szCs w:val="22"/>
        </w:rPr>
        <w:endnoteReference w:id="11"/>
      </w:r>
      <w:r w:rsidR="006D3D81">
        <w:rPr>
          <w:rFonts w:ascii="Arial" w:hAnsi="Arial" w:cs="Arial"/>
          <w:sz w:val="22"/>
          <w:szCs w:val="22"/>
        </w:rPr>
        <w:t xml:space="preserve">, seppur </w:t>
      </w:r>
      <w:r w:rsidR="008C6909">
        <w:rPr>
          <w:rFonts w:ascii="Arial" w:hAnsi="Arial" w:cs="Arial"/>
          <w:sz w:val="22"/>
          <w:szCs w:val="22"/>
        </w:rPr>
        <w:t>basata su dati ancora provvisori</w:t>
      </w:r>
      <w:r w:rsidR="006D3D81">
        <w:rPr>
          <w:rFonts w:ascii="Arial" w:hAnsi="Arial" w:cs="Arial"/>
          <w:sz w:val="22"/>
          <w:szCs w:val="22"/>
        </w:rPr>
        <w:t xml:space="preserve">, </w:t>
      </w:r>
      <w:r w:rsidR="006F2CCC">
        <w:rPr>
          <w:rFonts w:ascii="Arial" w:hAnsi="Arial" w:cs="Arial"/>
          <w:sz w:val="22"/>
          <w:szCs w:val="22"/>
        </w:rPr>
        <w:t xml:space="preserve">consente </w:t>
      </w:r>
      <w:r>
        <w:rPr>
          <w:rFonts w:ascii="Arial" w:hAnsi="Arial" w:cs="Arial"/>
          <w:sz w:val="22"/>
          <w:szCs w:val="22"/>
        </w:rPr>
        <w:t xml:space="preserve">di </w:t>
      </w:r>
      <w:r w:rsidR="00EF51F2">
        <w:rPr>
          <w:rFonts w:ascii="Arial" w:hAnsi="Arial" w:cs="Arial"/>
          <w:sz w:val="22"/>
          <w:szCs w:val="22"/>
        </w:rPr>
        <w:t>avanzare alcune considerazioni sul più recente andamento d</w:t>
      </w:r>
      <w:r w:rsidR="00F20A4F">
        <w:rPr>
          <w:rFonts w:ascii="Arial" w:hAnsi="Arial" w:cs="Arial"/>
          <w:sz w:val="22"/>
          <w:szCs w:val="22"/>
        </w:rPr>
        <w:t>i</w:t>
      </w:r>
      <w:r w:rsidR="004C2BB0">
        <w:rPr>
          <w:rFonts w:ascii="Arial" w:hAnsi="Arial" w:cs="Arial"/>
          <w:sz w:val="22"/>
          <w:szCs w:val="22"/>
        </w:rPr>
        <w:t xml:space="preserve"> </w:t>
      </w:r>
      <w:r w:rsidR="004C2BB0" w:rsidRPr="006F2CCC">
        <w:rPr>
          <w:rFonts w:ascii="Arial" w:hAnsi="Arial" w:cs="Arial"/>
          <w:sz w:val="22"/>
          <w:szCs w:val="22"/>
        </w:rPr>
        <w:t>separazioni e divorzi</w:t>
      </w:r>
      <w:r w:rsidR="00F6604A">
        <w:rPr>
          <w:rFonts w:ascii="Arial" w:hAnsi="Arial" w:cs="Arial"/>
          <w:sz w:val="22"/>
          <w:szCs w:val="22"/>
        </w:rPr>
        <w:t xml:space="preserve"> che, c</w:t>
      </w:r>
      <w:r w:rsidR="00EF51F2">
        <w:rPr>
          <w:rFonts w:ascii="Arial" w:hAnsi="Arial" w:cs="Arial"/>
          <w:sz w:val="22"/>
          <w:szCs w:val="22"/>
        </w:rPr>
        <w:t xml:space="preserve">ome già ricordato, </w:t>
      </w:r>
      <w:r w:rsidR="00F6604A">
        <w:rPr>
          <w:rFonts w:ascii="Arial" w:hAnsi="Arial" w:cs="Arial"/>
          <w:sz w:val="22"/>
          <w:szCs w:val="22"/>
        </w:rPr>
        <w:t>hanno</w:t>
      </w:r>
      <w:r w:rsidR="00EF51F2">
        <w:rPr>
          <w:rFonts w:ascii="Arial" w:hAnsi="Arial" w:cs="Arial"/>
          <w:sz w:val="22"/>
          <w:szCs w:val="22"/>
        </w:rPr>
        <w:t xml:space="preserve"> risentito meno degli effetti </w:t>
      </w:r>
      <w:r w:rsidR="00EF51F2" w:rsidRPr="0001203B">
        <w:rPr>
          <w:rFonts w:ascii="Arial" w:hAnsi="Arial" w:cs="Arial"/>
          <w:sz w:val="22"/>
          <w:szCs w:val="22"/>
        </w:rPr>
        <w:t>della pandemia.</w:t>
      </w:r>
    </w:p>
    <w:p w14:paraId="3E4E15A0" w14:textId="2CAE2EDD" w:rsidR="00D136FE" w:rsidRDefault="00D136FE" w:rsidP="00472DB8">
      <w:pPr>
        <w:spacing w:after="120"/>
        <w:jc w:val="both"/>
        <w:rPr>
          <w:rFonts w:ascii="Arial" w:hAnsi="Arial" w:cs="Arial"/>
          <w:sz w:val="22"/>
          <w:szCs w:val="22"/>
        </w:rPr>
      </w:pPr>
      <w:r w:rsidRPr="0001203B">
        <w:rPr>
          <w:rFonts w:ascii="Arial" w:hAnsi="Arial" w:cs="Arial"/>
          <w:sz w:val="22"/>
          <w:szCs w:val="22"/>
        </w:rPr>
        <w:t>Nei primi nove mesi del 2021</w:t>
      </w:r>
      <w:r w:rsidR="00141056" w:rsidRPr="0001203B">
        <w:rPr>
          <w:rFonts w:ascii="Arial" w:hAnsi="Arial" w:cs="Arial"/>
          <w:sz w:val="22"/>
          <w:szCs w:val="22"/>
        </w:rPr>
        <w:t xml:space="preserve"> </w:t>
      </w:r>
      <w:r w:rsidR="00AF3AF2">
        <w:rPr>
          <w:rFonts w:ascii="Arial" w:hAnsi="Arial" w:cs="Arial"/>
          <w:sz w:val="22"/>
          <w:szCs w:val="22"/>
        </w:rPr>
        <w:t xml:space="preserve">l’aumento </w:t>
      </w:r>
      <w:r w:rsidR="00CB3044" w:rsidRPr="0001203B">
        <w:rPr>
          <w:rFonts w:ascii="Arial" w:hAnsi="Arial" w:cs="Arial"/>
          <w:sz w:val="22"/>
          <w:szCs w:val="22"/>
        </w:rPr>
        <w:t>rispetto allo stesso periodo del 20</w:t>
      </w:r>
      <w:r w:rsidRPr="0001203B">
        <w:rPr>
          <w:rFonts w:ascii="Arial" w:hAnsi="Arial" w:cs="Arial"/>
          <w:sz w:val="22"/>
          <w:szCs w:val="22"/>
        </w:rPr>
        <w:t>20</w:t>
      </w:r>
      <w:r w:rsidR="00F20A4F">
        <w:rPr>
          <w:rFonts w:ascii="Arial" w:hAnsi="Arial" w:cs="Arial"/>
          <w:sz w:val="22"/>
          <w:szCs w:val="22"/>
        </w:rPr>
        <w:t xml:space="preserve"> (</w:t>
      </w:r>
      <w:r w:rsidR="00510190" w:rsidRPr="0001203B">
        <w:rPr>
          <w:rFonts w:ascii="Arial" w:hAnsi="Arial" w:cs="Arial"/>
          <w:sz w:val="22"/>
          <w:szCs w:val="22"/>
        </w:rPr>
        <w:t>+36,4% per le separazioni e +32,8% per i divorzi</w:t>
      </w:r>
      <w:r w:rsidR="00F20A4F">
        <w:rPr>
          <w:rFonts w:ascii="Arial" w:hAnsi="Arial" w:cs="Arial"/>
          <w:sz w:val="22"/>
          <w:szCs w:val="22"/>
        </w:rPr>
        <w:t>) riporta a</w:t>
      </w:r>
      <w:r w:rsidR="004A2D8A" w:rsidRPr="0001203B">
        <w:rPr>
          <w:rFonts w:ascii="Arial" w:hAnsi="Arial" w:cs="Arial"/>
          <w:sz w:val="22"/>
          <w:szCs w:val="22"/>
        </w:rPr>
        <w:t xml:space="preserve"> livelli simili a quelli del 2019</w:t>
      </w:r>
      <w:r w:rsidR="00CF7B07">
        <w:rPr>
          <w:rFonts w:ascii="Arial" w:hAnsi="Arial" w:cs="Arial"/>
          <w:sz w:val="22"/>
          <w:szCs w:val="22"/>
        </w:rPr>
        <w:t>.</w:t>
      </w:r>
    </w:p>
    <w:p w14:paraId="5A91A82B" w14:textId="19F1D2E4" w:rsidR="0085110F" w:rsidRDefault="00F20A4F" w:rsidP="00472DB8">
      <w:pPr>
        <w:spacing w:after="120"/>
        <w:jc w:val="both"/>
        <w:rPr>
          <w:rFonts w:ascii="Arial" w:hAnsi="Arial" w:cs="Arial"/>
          <w:sz w:val="22"/>
          <w:szCs w:val="22"/>
        </w:rPr>
      </w:pPr>
      <w:r>
        <w:rPr>
          <w:rFonts w:ascii="Arial" w:hAnsi="Arial" w:cs="Arial"/>
          <w:sz w:val="22"/>
          <w:szCs w:val="22"/>
        </w:rPr>
        <w:t>Per le separazioni la crescita è</w:t>
      </w:r>
      <w:r w:rsidR="0085110F">
        <w:rPr>
          <w:rFonts w:ascii="Arial" w:hAnsi="Arial" w:cs="Arial"/>
          <w:sz w:val="22"/>
          <w:szCs w:val="22"/>
        </w:rPr>
        <w:t xml:space="preserve"> più consistente nel caso dei provvedimenti presso i Tribunali, in particolare per le consensuali (+49,3%)</w:t>
      </w:r>
      <w:r w:rsidR="001E7001">
        <w:rPr>
          <w:rFonts w:ascii="Arial" w:hAnsi="Arial" w:cs="Arial"/>
          <w:sz w:val="22"/>
          <w:szCs w:val="22"/>
        </w:rPr>
        <w:t>.</w:t>
      </w:r>
      <w:r w:rsidR="0085110F">
        <w:rPr>
          <w:rFonts w:ascii="Arial" w:hAnsi="Arial" w:cs="Arial"/>
          <w:sz w:val="22"/>
          <w:szCs w:val="22"/>
        </w:rPr>
        <w:t xml:space="preserve"> </w:t>
      </w:r>
      <w:r w:rsidR="001E7001">
        <w:rPr>
          <w:rFonts w:ascii="Arial" w:hAnsi="Arial" w:cs="Arial"/>
          <w:sz w:val="22"/>
          <w:szCs w:val="22"/>
        </w:rPr>
        <w:t>Q</w:t>
      </w:r>
      <w:r w:rsidR="0085110F">
        <w:rPr>
          <w:rFonts w:ascii="Arial" w:hAnsi="Arial" w:cs="Arial"/>
          <w:sz w:val="22"/>
          <w:szCs w:val="22"/>
        </w:rPr>
        <w:t>uest’ultima tipologia</w:t>
      </w:r>
      <w:r w:rsidR="001E7001">
        <w:rPr>
          <w:rFonts w:ascii="Arial" w:hAnsi="Arial" w:cs="Arial"/>
          <w:sz w:val="22"/>
          <w:szCs w:val="22"/>
        </w:rPr>
        <w:t>, che aveva registrato</w:t>
      </w:r>
      <w:r w:rsidR="0085110F">
        <w:rPr>
          <w:rFonts w:ascii="Arial" w:hAnsi="Arial" w:cs="Arial"/>
          <w:sz w:val="22"/>
          <w:szCs w:val="22"/>
        </w:rPr>
        <w:t xml:space="preserve"> </w:t>
      </w:r>
      <w:r w:rsidR="001E7001">
        <w:rPr>
          <w:rFonts w:ascii="Arial" w:hAnsi="Arial" w:cs="Arial"/>
          <w:sz w:val="22"/>
          <w:szCs w:val="22"/>
        </w:rPr>
        <w:t xml:space="preserve">il calo più consistente nel 2020, </w:t>
      </w:r>
      <w:r w:rsidR="0085110F">
        <w:rPr>
          <w:rFonts w:ascii="Arial" w:hAnsi="Arial" w:cs="Arial"/>
          <w:sz w:val="22"/>
          <w:szCs w:val="22"/>
        </w:rPr>
        <w:t xml:space="preserve">evidenzia un aumento del 6,0% anche </w:t>
      </w:r>
      <w:r w:rsidR="001E7001">
        <w:rPr>
          <w:rFonts w:ascii="Arial" w:hAnsi="Arial" w:cs="Arial"/>
          <w:sz w:val="22"/>
          <w:szCs w:val="22"/>
        </w:rPr>
        <w:t>tra</w:t>
      </w:r>
      <w:r w:rsidR="0085110F">
        <w:rPr>
          <w:rFonts w:ascii="Arial" w:hAnsi="Arial" w:cs="Arial"/>
          <w:sz w:val="22"/>
          <w:szCs w:val="22"/>
        </w:rPr>
        <w:t xml:space="preserve"> 2021 </w:t>
      </w:r>
      <w:r w:rsidR="001E7001">
        <w:rPr>
          <w:rFonts w:ascii="Arial" w:hAnsi="Arial" w:cs="Arial"/>
          <w:sz w:val="22"/>
          <w:szCs w:val="22"/>
        </w:rPr>
        <w:t xml:space="preserve">e </w:t>
      </w:r>
      <w:r w:rsidR="0085110F">
        <w:rPr>
          <w:rFonts w:ascii="Arial" w:hAnsi="Arial" w:cs="Arial"/>
          <w:sz w:val="22"/>
          <w:szCs w:val="22"/>
        </w:rPr>
        <w:t xml:space="preserve">2019. Stesso andamento si </w:t>
      </w:r>
      <w:r w:rsidR="001E7001">
        <w:rPr>
          <w:rFonts w:ascii="Arial" w:hAnsi="Arial" w:cs="Arial"/>
          <w:sz w:val="22"/>
          <w:szCs w:val="22"/>
        </w:rPr>
        <w:t xml:space="preserve">rileva </w:t>
      </w:r>
      <w:r w:rsidR="0085110F">
        <w:rPr>
          <w:rFonts w:ascii="Arial" w:hAnsi="Arial" w:cs="Arial"/>
          <w:sz w:val="22"/>
          <w:szCs w:val="22"/>
        </w:rPr>
        <w:t>nel caso dei divorzi consensuali.</w:t>
      </w:r>
      <w:r w:rsidR="000810FD">
        <w:rPr>
          <w:rFonts w:ascii="Arial" w:hAnsi="Arial" w:cs="Arial"/>
          <w:sz w:val="22"/>
          <w:szCs w:val="22"/>
        </w:rPr>
        <w:t xml:space="preserve"> </w:t>
      </w:r>
    </w:p>
    <w:p w14:paraId="741EA9F6" w14:textId="47FE103D" w:rsidR="00743E1F" w:rsidRDefault="002524BD" w:rsidP="002524BD">
      <w:pPr>
        <w:spacing w:after="120"/>
        <w:jc w:val="both"/>
        <w:rPr>
          <w:rFonts w:ascii="Arial" w:hAnsi="Arial" w:cs="Arial"/>
          <w:sz w:val="22"/>
          <w:szCs w:val="22"/>
        </w:rPr>
      </w:pPr>
      <w:r w:rsidRPr="0058458E">
        <w:rPr>
          <w:rFonts w:ascii="Arial" w:hAnsi="Arial" w:cs="Arial"/>
          <w:sz w:val="22"/>
          <w:szCs w:val="22"/>
        </w:rPr>
        <w:t>Gli accordi di negoziazione assistita con avvocati sia per le separazioni sia per i divorzi</w:t>
      </w:r>
      <w:r w:rsidR="0084290A">
        <w:rPr>
          <w:rFonts w:ascii="Arial" w:hAnsi="Arial" w:cs="Arial"/>
          <w:sz w:val="22"/>
          <w:szCs w:val="22"/>
        </w:rPr>
        <w:t xml:space="preserve"> hanno </w:t>
      </w:r>
      <w:r w:rsidRPr="0058458E">
        <w:rPr>
          <w:rFonts w:ascii="Arial" w:hAnsi="Arial" w:cs="Arial"/>
          <w:sz w:val="22"/>
          <w:szCs w:val="22"/>
        </w:rPr>
        <w:t>mostra</w:t>
      </w:r>
      <w:r w:rsidR="0084290A">
        <w:rPr>
          <w:rFonts w:ascii="Arial" w:hAnsi="Arial" w:cs="Arial"/>
          <w:sz w:val="22"/>
          <w:szCs w:val="22"/>
        </w:rPr>
        <w:t>to</w:t>
      </w:r>
      <w:r w:rsidRPr="0058458E">
        <w:rPr>
          <w:rFonts w:ascii="Arial" w:hAnsi="Arial" w:cs="Arial"/>
          <w:sz w:val="22"/>
          <w:szCs w:val="22"/>
        </w:rPr>
        <w:t>, soprattutto per le separazioni, un calo contenuto n</w:t>
      </w:r>
      <w:r w:rsidR="007623EC">
        <w:rPr>
          <w:rFonts w:ascii="Arial" w:hAnsi="Arial" w:cs="Arial"/>
          <w:sz w:val="22"/>
          <w:szCs w:val="22"/>
        </w:rPr>
        <w:t>ei primi</w:t>
      </w:r>
      <w:r w:rsidR="0084290A">
        <w:rPr>
          <w:rFonts w:ascii="Arial" w:hAnsi="Arial" w:cs="Arial"/>
          <w:sz w:val="22"/>
          <w:szCs w:val="22"/>
        </w:rPr>
        <w:t xml:space="preserve"> nove</w:t>
      </w:r>
      <w:r w:rsidR="007623EC">
        <w:rPr>
          <w:rFonts w:ascii="Arial" w:hAnsi="Arial" w:cs="Arial"/>
          <w:sz w:val="22"/>
          <w:szCs w:val="22"/>
        </w:rPr>
        <w:t xml:space="preserve"> mesi del 2020 (-2,1</w:t>
      </w:r>
      <w:r w:rsidR="00AF3AF2">
        <w:rPr>
          <w:rFonts w:ascii="Arial" w:hAnsi="Arial" w:cs="Arial"/>
          <w:sz w:val="22"/>
          <w:szCs w:val="22"/>
        </w:rPr>
        <w:t>%</w:t>
      </w:r>
      <w:r w:rsidR="007623EC">
        <w:rPr>
          <w:rFonts w:ascii="Arial" w:hAnsi="Arial" w:cs="Arial"/>
          <w:sz w:val="22"/>
          <w:szCs w:val="22"/>
        </w:rPr>
        <w:t xml:space="preserve">), </w:t>
      </w:r>
      <w:r w:rsidR="00B56A74">
        <w:rPr>
          <w:rFonts w:ascii="Arial" w:hAnsi="Arial" w:cs="Arial"/>
          <w:sz w:val="22"/>
          <w:szCs w:val="22"/>
        </w:rPr>
        <w:t>seguito</w:t>
      </w:r>
      <w:r w:rsidRPr="0058458E">
        <w:rPr>
          <w:rFonts w:ascii="Arial" w:hAnsi="Arial" w:cs="Arial"/>
          <w:sz w:val="22"/>
          <w:szCs w:val="22"/>
        </w:rPr>
        <w:t xml:space="preserve"> da un aumento negli stessi mesi del 2021 (+11,1</w:t>
      </w:r>
      <w:r w:rsidR="00AF3AF2">
        <w:rPr>
          <w:rFonts w:ascii="Arial" w:hAnsi="Arial" w:cs="Arial"/>
          <w:sz w:val="22"/>
          <w:szCs w:val="22"/>
        </w:rPr>
        <w:t>%</w:t>
      </w:r>
      <w:r w:rsidRPr="0058458E">
        <w:rPr>
          <w:rFonts w:ascii="Arial" w:hAnsi="Arial" w:cs="Arial"/>
          <w:sz w:val="22"/>
          <w:szCs w:val="22"/>
        </w:rPr>
        <w:t>)</w:t>
      </w:r>
      <w:r w:rsidR="0043514F">
        <w:rPr>
          <w:rFonts w:ascii="Arial" w:hAnsi="Arial" w:cs="Arial"/>
          <w:sz w:val="22"/>
          <w:szCs w:val="22"/>
        </w:rPr>
        <w:t>. Nel</w:t>
      </w:r>
      <w:r w:rsidRPr="0058458E">
        <w:rPr>
          <w:rFonts w:ascii="Arial" w:hAnsi="Arial" w:cs="Arial"/>
          <w:sz w:val="22"/>
          <w:szCs w:val="22"/>
        </w:rPr>
        <w:t xml:space="preserve"> confront</w:t>
      </w:r>
      <w:r w:rsidR="0043514F">
        <w:rPr>
          <w:rFonts w:ascii="Arial" w:hAnsi="Arial" w:cs="Arial"/>
          <w:sz w:val="22"/>
          <w:szCs w:val="22"/>
        </w:rPr>
        <w:t xml:space="preserve">o tra </w:t>
      </w:r>
      <w:r w:rsidRPr="0058458E">
        <w:rPr>
          <w:rFonts w:ascii="Arial" w:hAnsi="Arial" w:cs="Arial"/>
          <w:sz w:val="22"/>
          <w:szCs w:val="22"/>
        </w:rPr>
        <w:t xml:space="preserve">il 2021 </w:t>
      </w:r>
      <w:r w:rsidR="0043514F">
        <w:rPr>
          <w:rFonts w:ascii="Arial" w:hAnsi="Arial" w:cs="Arial"/>
          <w:sz w:val="22"/>
          <w:szCs w:val="22"/>
        </w:rPr>
        <w:t>e</w:t>
      </w:r>
      <w:r w:rsidR="007623EC">
        <w:rPr>
          <w:rFonts w:ascii="Arial" w:hAnsi="Arial" w:cs="Arial"/>
          <w:sz w:val="22"/>
          <w:szCs w:val="22"/>
        </w:rPr>
        <w:t xml:space="preserve"> il 2019, quindi, si evidenz</w:t>
      </w:r>
      <w:r w:rsidR="0084290A">
        <w:rPr>
          <w:rFonts w:ascii="Arial" w:hAnsi="Arial" w:cs="Arial"/>
          <w:sz w:val="22"/>
          <w:szCs w:val="22"/>
        </w:rPr>
        <w:t>i</w:t>
      </w:r>
      <w:r w:rsidR="007623EC">
        <w:rPr>
          <w:rFonts w:ascii="Arial" w:hAnsi="Arial" w:cs="Arial"/>
          <w:sz w:val="22"/>
          <w:szCs w:val="22"/>
        </w:rPr>
        <w:t>a</w:t>
      </w:r>
      <w:r w:rsidRPr="0058458E">
        <w:rPr>
          <w:rFonts w:ascii="Arial" w:hAnsi="Arial" w:cs="Arial"/>
          <w:sz w:val="22"/>
          <w:szCs w:val="22"/>
        </w:rPr>
        <w:t xml:space="preserve"> un aumento dell’8,8</w:t>
      </w:r>
      <w:r w:rsidR="0084290A">
        <w:rPr>
          <w:rFonts w:ascii="Arial" w:hAnsi="Arial" w:cs="Arial"/>
          <w:sz w:val="22"/>
          <w:szCs w:val="22"/>
        </w:rPr>
        <w:t xml:space="preserve">%, </w:t>
      </w:r>
      <w:r w:rsidRPr="0058458E">
        <w:rPr>
          <w:rFonts w:ascii="Arial" w:hAnsi="Arial" w:cs="Arial"/>
          <w:sz w:val="22"/>
          <w:szCs w:val="22"/>
        </w:rPr>
        <w:t xml:space="preserve">in linea con </w:t>
      </w:r>
      <w:r w:rsidR="001E7001">
        <w:rPr>
          <w:rFonts w:ascii="Arial" w:hAnsi="Arial" w:cs="Arial"/>
          <w:sz w:val="22"/>
          <w:szCs w:val="22"/>
        </w:rPr>
        <w:t>quanto</w:t>
      </w:r>
      <w:r w:rsidR="001E7001" w:rsidRPr="0058458E">
        <w:rPr>
          <w:rFonts w:ascii="Arial" w:hAnsi="Arial" w:cs="Arial"/>
          <w:sz w:val="22"/>
          <w:szCs w:val="22"/>
        </w:rPr>
        <w:t xml:space="preserve"> </w:t>
      </w:r>
      <w:r w:rsidRPr="0058458E">
        <w:rPr>
          <w:rFonts w:ascii="Arial" w:hAnsi="Arial" w:cs="Arial"/>
          <w:sz w:val="22"/>
          <w:szCs w:val="22"/>
        </w:rPr>
        <w:t xml:space="preserve">osservato tra 2018 e 2019. </w:t>
      </w:r>
      <w:r w:rsidR="00827C8B" w:rsidRPr="0058458E">
        <w:rPr>
          <w:rFonts w:ascii="Arial" w:hAnsi="Arial" w:cs="Arial"/>
          <w:sz w:val="22"/>
          <w:szCs w:val="22"/>
        </w:rPr>
        <w:t>Presumibilmente</w:t>
      </w:r>
      <w:r w:rsidR="0058458E" w:rsidRPr="0058458E">
        <w:rPr>
          <w:rFonts w:ascii="Arial" w:hAnsi="Arial" w:cs="Arial"/>
          <w:sz w:val="22"/>
          <w:szCs w:val="22"/>
        </w:rPr>
        <w:t xml:space="preserve"> la scelta di questa procedura è stata anche avvantaggiata</w:t>
      </w:r>
      <w:r w:rsidR="00827C8B" w:rsidRPr="0058458E">
        <w:rPr>
          <w:rFonts w:ascii="Arial" w:hAnsi="Arial" w:cs="Arial"/>
          <w:sz w:val="22"/>
          <w:szCs w:val="22"/>
        </w:rPr>
        <w:t xml:space="preserve"> </w:t>
      </w:r>
      <w:r w:rsidR="0058458E" w:rsidRPr="0058458E">
        <w:rPr>
          <w:rFonts w:ascii="Arial" w:hAnsi="Arial" w:cs="Arial"/>
          <w:sz w:val="22"/>
          <w:szCs w:val="22"/>
        </w:rPr>
        <w:t>dal</w:t>
      </w:r>
      <w:r w:rsidRPr="0058458E">
        <w:rPr>
          <w:rFonts w:ascii="Arial" w:hAnsi="Arial" w:cs="Arial"/>
          <w:sz w:val="22"/>
          <w:szCs w:val="22"/>
        </w:rPr>
        <w:t xml:space="preserve"> deposito telematico degli atti </w:t>
      </w:r>
      <w:r w:rsidR="00827C8B" w:rsidRPr="0058458E">
        <w:rPr>
          <w:rFonts w:ascii="Arial" w:hAnsi="Arial" w:cs="Arial"/>
          <w:sz w:val="22"/>
          <w:szCs w:val="22"/>
        </w:rPr>
        <w:t xml:space="preserve">che </w:t>
      </w:r>
      <w:r w:rsidRPr="0058458E">
        <w:rPr>
          <w:rFonts w:ascii="Arial" w:hAnsi="Arial" w:cs="Arial"/>
          <w:sz w:val="22"/>
          <w:szCs w:val="22"/>
        </w:rPr>
        <w:t>già contraddistingueva questa tipologia di accordi.</w:t>
      </w:r>
      <w:r w:rsidR="005D733D">
        <w:rPr>
          <w:rFonts w:ascii="Arial" w:hAnsi="Arial" w:cs="Arial"/>
          <w:sz w:val="22"/>
          <w:szCs w:val="22"/>
        </w:rPr>
        <w:t xml:space="preserve"> </w:t>
      </w:r>
    </w:p>
    <w:p w14:paraId="179DC834" w14:textId="0853A379" w:rsidR="002524BD" w:rsidRDefault="00743E1F" w:rsidP="002524BD">
      <w:pPr>
        <w:spacing w:after="120"/>
        <w:jc w:val="both"/>
        <w:rPr>
          <w:rFonts w:ascii="Arial" w:hAnsi="Arial" w:cs="Arial"/>
          <w:sz w:val="22"/>
          <w:szCs w:val="22"/>
        </w:rPr>
      </w:pPr>
      <w:r>
        <w:rPr>
          <w:rFonts w:ascii="Arial" w:hAnsi="Arial" w:cs="Arial"/>
          <w:sz w:val="22"/>
          <w:szCs w:val="22"/>
        </w:rPr>
        <w:t>Le separazioni e i divorzi consensuali direttamente presso i Comuni, infine</w:t>
      </w:r>
      <w:r w:rsidR="005D733D">
        <w:rPr>
          <w:rFonts w:ascii="Arial" w:hAnsi="Arial" w:cs="Arial"/>
          <w:sz w:val="22"/>
          <w:szCs w:val="22"/>
        </w:rPr>
        <w:t xml:space="preserve">, hanno visto una ripresa nei primi nove mesi </w:t>
      </w:r>
      <w:r w:rsidR="0084290A">
        <w:rPr>
          <w:rFonts w:ascii="Arial" w:hAnsi="Arial" w:cs="Arial"/>
          <w:sz w:val="22"/>
          <w:szCs w:val="22"/>
        </w:rPr>
        <w:t xml:space="preserve">del 2021 </w:t>
      </w:r>
      <w:r>
        <w:rPr>
          <w:rFonts w:ascii="Arial" w:hAnsi="Arial" w:cs="Arial"/>
          <w:sz w:val="22"/>
          <w:szCs w:val="22"/>
        </w:rPr>
        <w:t xml:space="preserve">in confronto </w:t>
      </w:r>
      <w:r w:rsidR="0084290A">
        <w:rPr>
          <w:rFonts w:ascii="Arial" w:hAnsi="Arial" w:cs="Arial"/>
          <w:sz w:val="22"/>
          <w:szCs w:val="22"/>
        </w:rPr>
        <w:t xml:space="preserve">allo stesso periodo del 2020 (rispettivamente </w:t>
      </w:r>
      <w:r w:rsidR="001E7001">
        <w:rPr>
          <w:rFonts w:ascii="Arial" w:hAnsi="Arial" w:cs="Arial"/>
          <w:sz w:val="22"/>
          <w:szCs w:val="22"/>
        </w:rPr>
        <w:t>+</w:t>
      </w:r>
      <w:r w:rsidR="0084290A">
        <w:rPr>
          <w:rFonts w:ascii="Arial" w:hAnsi="Arial" w:cs="Arial"/>
          <w:sz w:val="22"/>
          <w:szCs w:val="22"/>
        </w:rPr>
        <w:t>14,8</w:t>
      </w:r>
      <w:r>
        <w:rPr>
          <w:rFonts w:ascii="Arial" w:hAnsi="Arial" w:cs="Arial"/>
          <w:sz w:val="22"/>
          <w:szCs w:val="22"/>
        </w:rPr>
        <w:t>%</w:t>
      </w:r>
      <w:r w:rsidR="0084290A">
        <w:rPr>
          <w:rFonts w:ascii="Arial" w:hAnsi="Arial" w:cs="Arial"/>
          <w:sz w:val="22"/>
          <w:szCs w:val="22"/>
        </w:rPr>
        <w:t xml:space="preserve"> e </w:t>
      </w:r>
      <w:r w:rsidR="001E7001">
        <w:rPr>
          <w:rFonts w:ascii="Arial" w:hAnsi="Arial" w:cs="Arial"/>
          <w:sz w:val="22"/>
          <w:szCs w:val="22"/>
        </w:rPr>
        <w:t>+</w:t>
      </w:r>
      <w:r w:rsidR="0084290A">
        <w:rPr>
          <w:rFonts w:ascii="Arial" w:hAnsi="Arial" w:cs="Arial"/>
          <w:sz w:val="22"/>
          <w:szCs w:val="22"/>
        </w:rPr>
        <w:t>9,9%).</w:t>
      </w:r>
      <w:r w:rsidRPr="00743E1F">
        <w:rPr>
          <w:rFonts w:ascii="Arial" w:hAnsi="Arial" w:cs="Arial"/>
          <w:sz w:val="22"/>
          <w:szCs w:val="22"/>
        </w:rPr>
        <w:t xml:space="preserve"> </w:t>
      </w:r>
      <w:r>
        <w:rPr>
          <w:rFonts w:ascii="Arial" w:hAnsi="Arial" w:cs="Arial"/>
          <w:sz w:val="22"/>
          <w:szCs w:val="22"/>
        </w:rPr>
        <w:t xml:space="preserve">Tuttavia, viste le problematiche di gestione dell’emergenza sanitaria legata allo svolgimento delle procedure amministrative, </w:t>
      </w:r>
      <w:r w:rsidR="001E7001">
        <w:rPr>
          <w:rFonts w:ascii="Arial" w:hAnsi="Arial" w:cs="Arial"/>
          <w:sz w:val="22"/>
          <w:szCs w:val="22"/>
        </w:rPr>
        <w:t>il confronto tra i pr</w:t>
      </w:r>
      <w:r w:rsidR="0084290A">
        <w:rPr>
          <w:rFonts w:ascii="Arial" w:hAnsi="Arial" w:cs="Arial"/>
          <w:sz w:val="22"/>
          <w:szCs w:val="22"/>
        </w:rPr>
        <w:t xml:space="preserve">imi nove mesi del 2021 </w:t>
      </w:r>
      <w:r w:rsidR="001E7001">
        <w:rPr>
          <w:rFonts w:ascii="Arial" w:hAnsi="Arial" w:cs="Arial"/>
          <w:sz w:val="22"/>
          <w:szCs w:val="22"/>
        </w:rPr>
        <w:t xml:space="preserve">e </w:t>
      </w:r>
      <w:r w:rsidR="0084290A">
        <w:rPr>
          <w:rFonts w:ascii="Arial" w:hAnsi="Arial" w:cs="Arial"/>
          <w:sz w:val="22"/>
          <w:szCs w:val="22"/>
        </w:rPr>
        <w:t>lo stesso periodo pre-pandemico</w:t>
      </w:r>
      <w:r w:rsidR="000810FD">
        <w:rPr>
          <w:rFonts w:ascii="Arial" w:hAnsi="Arial" w:cs="Arial"/>
          <w:sz w:val="22"/>
          <w:szCs w:val="22"/>
        </w:rPr>
        <w:t xml:space="preserve"> mette in</w:t>
      </w:r>
      <w:r w:rsidR="001E7001">
        <w:rPr>
          <w:rFonts w:ascii="Arial" w:hAnsi="Arial" w:cs="Arial"/>
          <w:sz w:val="22"/>
          <w:szCs w:val="22"/>
        </w:rPr>
        <w:t xml:space="preserve"> luce un calo </w:t>
      </w:r>
      <w:r w:rsidR="00665F4E">
        <w:rPr>
          <w:rFonts w:ascii="Arial" w:hAnsi="Arial" w:cs="Arial"/>
          <w:sz w:val="22"/>
          <w:szCs w:val="22"/>
        </w:rPr>
        <w:t>consistente</w:t>
      </w:r>
      <w:r w:rsidR="00B56A74">
        <w:rPr>
          <w:rFonts w:ascii="Arial" w:hAnsi="Arial" w:cs="Arial"/>
          <w:sz w:val="22"/>
          <w:szCs w:val="22"/>
        </w:rPr>
        <w:t xml:space="preserve"> (-16,7%)</w:t>
      </w:r>
      <w:r w:rsidR="00853449">
        <w:rPr>
          <w:rFonts w:ascii="Arial" w:hAnsi="Arial" w:cs="Arial"/>
          <w:sz w:val="22"/>
          <w:szCs w:val="22"/>
        </w:rPr>
        <w:t xml:space="preserve">. </w:t>
      </w:r>
    </w:p>
    <w:p w14:paraId="11D6BDBB" w14:textId="22CA3D7D" w:rsidR="005D733D" w:rsidRDefault="005D733D" w:rsidP="002524BD">
      <w:pPr>
        <w:spacing w:after="120"/>
        <w:jc w:val="both"/>
        <w:rPr>
          <w:rFonts w:ascii="Arial" w:hAnsi="Arial" w:cs="Arial"/>
          <w:sz w:val="22"/>
          <w:szCs w:val="22"/>
        </w:rPr>
      </w:pPr>
    </w:p>
    <w:p w14:paraId="43A5AA51" w14:textId="36C7EEBA" w:rsidR="00621908" w:rsidRDefault="00621908" w:rsidP="002524BD">
      <w:pPr>
        <w:spacing w:after="120"/>
        <w:jc w:val="both"/>
        <w:rPr>
          <w:rFonts w:ascii="Arial" w:hAnsi="Arial" w:cs="Arial"/>
          <w:sz w:val="22"/>
          <w:szCs w:val="22"/>
        </w:rPr>
      </w:pPr>
    </w:p>
    <w:p w14:paraId="2F1E3003" w14:textId="1C7BFD07" w:rsidR="00621908" w:rsidRDefault="00621908" w:rsidP="002524BD">
      <w:pPr>
        <w:spacing w:after="120"/>
        <w:jc w:val="both"/>
        <w:rPr>
          <w:rFonts w:ascii="Arial" w:hAnsi="Arial" w:cs="Arial"/>
          <w:sz w:val="22"/>
          <w:szCs w:val="22"/>
        </w:rPr>
      </w:pPr>
    </w:p>
    <w:p w14:paraId="5BA6BD8C" w14:textId="626F05CB" w:rsidR="00621908" w:rsidRDefault="00621908" w:rsidP="002524BD">
      <w:pPr>
        <w:spacing w:after="120"/>
        <w:jc w:val="both"/>
        <w:rPr>
          <w:rFonts w:ascii="Arial" w:hAnsi="Arial" w:cs="Arial"/>
          <w:sz w:val="22"/>
          <w:szCs w:val="22"/>
        </w:rPr>
      </w:pPr>
    </w:p>
    <w:p w14:paraId="583E354E" w14:textId="596FAEA8" w:rsidR="00621908" w:rsidRDefault="00621908" w:rsidP="002524BD">
      <w:pPr>
        <w:spacing w:after="120"/>
        <w:jc w:val="both"/>
        <w:rPr>
          <w:rFonts w:ascii="Arial" w:hAnsi="Arial" w:cs="Arial"/>
          <w:sz w:val="22"/>
          <w:szCs w:val="22"/>
        </w:rPr>
      </w:pPr>
    </w:p>
    <w:p w14:paraId="2C8C45CA" w14:textId="43241EC3" w:rsidR="001E7001" w:rsidRDefault="001E7001" w:rsidP="002524BD">
      <w:pPr>
        <w:spacing w:after="120"/>
        <w:jc w:val="both"/>
        <w:rPr>
          <w:rFonts w:ascii="Arial" w:hAnsi="Arial" w:cs="Arial"/>
          <w:sz w:val="22"/>
          <w:szCs w:val="22"/>
        </w:rPr>
      </w:pPr>
    </w:p>
    <w:p w14:paraId="748BA5BE" w14:textId="77777777" w:rsidR="000810FD" w:rsidRDefault="000810FD" w:rsidP="002524BD">
      <w:pPr>
        <w:spacing w:after="120"/>
        <w:jc w:val="both"/>
        <w:rPr>
          <w:rFonts w:ascii="Arial" w:hAnsi="Arial" w:cs="Arial"/>
          <w:sz w:val="22"/>
          <w:szCs w:val="22"/>
        </w:rPr>
      </w:pPr>
    </w:p>
    <w:p w14:paraId="2C625253" w14:textId="77777777" w:rsidR="000810FD" w:rsidRDefault="000810FD" w:rsidP="002524BD">
      <w:pPr>
        <w:spacing w:after="120"/>
        <w:jc w:val="both"/>
        <w:rPr>
          <w:rFonts w:ascii="Arial" w:hAnsi="Arial" w:cs="Arial"/>
          <w:sz w:val="22"/>
          <w:szCs w:val="22"/>
        </w:rPr>
      </w:pPr>
    </w:p>
    <w:p w14:paraId="52FD0DFF" w14:textId="77777777" w:rsidR="000810FD" w:rsidRDefault="000810FD" w:rsidP="002524BD">
      <w:pPr>
        <w:spacing w:after="120"/>
        <w:jc w:val="both"/>
        <w:rPr>
          <w:rFonts w:ascii="Arial" w:hAnsi="Arial" w:cs="Arial"/>
          <w:sz w:val="22"/>
          <w:szCs w:val="22"/>
        </w:rPr>
      </w:pPr>
    </w:p>
    <w:p w14:paraId="5BBCEEDD" w14:textId="77777777" w:rsidR="001E7001" w:rsidRDefault="001E7001" w:rsidP="002524BD">
      <w:pPr>
        <w:spacing w:after="120"/>
        <w:jc w:val="both"/>
        <w:rPr>
          <w:rFonts w:ascii="Arial" w:hAnsi="Arial" w:cs="Arial"/>
          <w:sz w:val="22"/>
          <w:szCs w:val="22"/>
        </w:rPr>
      </w:pPr>
    </w:p>
    <w:p w14:paraId="096E6A23" w14:textId="77777777" w:rsidR="0043514F" w:rsidRDefault="0043514F" w:rsidP="002524BD">
      <w:pPr>
        <w:spacing w:after="120"/>
        <w:jc w:val="both"/>
        <w:rPr>
          <w:rFonts w:ascii="Arial" w:hAnsi="Arial" w:cs="Arial"/>
          <w:sz w:val="22"/>
          <w:szCs w:val="22"/>
        </w:rPr>
      </w:pPr>
    </w:p>
    <w:p w14:paraId="18D10BFF" w14:textId="0BB30B8A" w:rsidR="00115DEF" w:rsidRDefault="00B37C65" w:rsidP="0047284C">
      <w:pPr>
        <w:autoSpaceDE w:val="0"/>
        <w:autoSpaceDN w:val="0"/>
        <w:adjustRightInd w:val="0"/>
        <w:jc w:val="both"/>
        <w:rPr>
          <w:rFonts w:ascii="Arial Narrow" w:hAnsi="Arial Narrow" w:cs="Arial"/>
          <w:color w:val="1F497D" w:themeColor="text2"/>
          <w:sz w:val="22"/>
          <w:szCs w:val="22"/>
        </w:rPr>
      </w:pPr>
      <w:r>
        <w:rPr>
          <w:rFonts w:ascii="Arial Black" w:hAnsi="Arial Black" w:cs="Arial"/>
          <w:iCs/>
          <w:noProof/>
          <w:color w:val="1F497D" w:themeColor="text2"/>
          <w:sz w:val="22"/>
          <w:szCs w:val="22"/>
        </w:rPr>
        <w:t>F</w:t>
      </w:r>
      <w:r w:rsidRPr="005D02DA">
        <w:rPr>
          <w:rFonts w:ascii="Arial Black" w:hAnsi="Arial Black" w:cs="Arial"/>
          <w:iCs/>
          <w:noProof/>
          <w:color w:val="1F497D" w:themeColor="text2"/>
          <w:sz w:val="22"/>
          <w:szCs w:val="22"/>
        </w:rPr>
        <w:t xml:space="preserve">IGURA </w:t>
      </w:r>
      <w:r w:rsidR="004C7647">
        <w:rPr>
          <w:rFonts w:ascii="Arial Black" w:hAnsi="Arial Black" w:cs="Arial"/>
          <w:iCs/>
          <w:noProof/>
          <w:color w:val="1F497D" w:themeColor="text2"/>
          <w:sz w:val="22"/>
          <w:szCs w:val="22"/>
        </w:rPr>
        <w:t>9</w:t>
      </w:r>
      <w:r w:rsidRPr="005D02DA">
        <w:rPr>
          <w:rFonts w:ascii="Arial Black" w:hAnsi="Arial Black" w:cs="Arial"/>
          <w:iCs/>
          <w:noProof/>
          <w:color w:val="1F497D" w:themeColor="text2"/>
          <w:sz w:val="22"/>
          <w:szCs w:val="22"/>
        </w:rPr>
        <w:t>.</w:t>
      </w:r>
      <w:r>
        <w:rPr>
          <w:rFonts w:ascii="Arial Narrow" w:hAnsi="Arial Narrow" w:cs="Arial"/>
          <w:b/>
          <w:iCs/>
          <w:noProof/>
          <w:color w:val="1F497D" w:themeColor="text2"/>
          <w:sz w:val="22"/>
          <w:szCs w:val="22"/>
        </w:rPr>
        <w:t xml:space="preserve"> SEPARAZIONI E DIVORZI </w:t>
      </w:r>
      <w:r w:rsidR="006C678F">
        <w:rPr>
          <w:rFonts w:ascii="Arial Narrow" w:hAnsi="Arial Narrow" w:cs="Arial"/>
          <w:b/>
          <w:iCs/>
          <w:noProof/>
          <w:color w:val="1F497D" w:themeColor="text2"/>
          <w:sz w:val="22"/>
          <w:szCs w:val="22"/>
        </w:rPr>
        <w:t>PER TIPOLOGIA</w:t>
      </w:r>
      <w:r w:rsidR="004C7647">
        <w:rPr>
          <w:rFonts w:ascii="Arial Narrow" w:hAnsi="Arial Narrow" w:cs="Arial"/>
          <w:b/>
          <w:iCs/>
          <w:noProof/>
          <w:color w:val="1F497D" w:themeColor="text2"/>
          <w:sz w:val="22"/>
          <w:szCs w:val="22"/>
        </w:rPr>
        <w:t xml:space="preserve"> E RITO DI ESAURIMENTO</w:t>
      </w:r>
      <w:r>
        <w:rPr>
          <w:rFonts w:ascii="Arial Narrow" w:hAnsi="Arial Narrow" w:cs="Arial"/>
          <w:b/>
          <w:iCs/>
          <w:noProof/>
          <w:color w:val="1F497D" w:themeColor="text2"/>
          <w:sz w:val="22"/>
          <w:szCs w:val="22"/>
        </w:rPr>
        <w:t xml:space="preserve">. </w:t>
      </w:r>
      <w:r w:rsidR="006C678F">
        <w:rPr>
          <w:rFonts w:ascii="Arial Narrow" w:hAnsi="Arial Narrow" w:cs="Arial"/>
          <w:color w:val="1F497D" w:themeColor="text2"/>
          <w:sz w:val="22"/>
          <w:szCs w:val="22"/>
        </w:rPr>
        <w:t xml:space="preserve">Primi </w:t>
      </w:r>
      <w:r w:rsidR="00D45B21">
        <w:rPr>
          <w:rFonts w:ascii="Arial Narrow" w:hAnsi="Arial Narrow" w:cs="Arial"/>
          <w:color w:val="1F497D" w:themeColor="text2"/>
          <w:sz w:val="22"/>
          <w:szCs w:val="22"/>
        </w:rPr>
        <w:t>nove</w:t>
      </w:r>
      <w:r w:rsidR="006C678F">
        <w:rPr>
          <w:rFonts w:ascii="Arial Narrow" w:hAnsi="Arial Narrow" w:cs="Arial"/>
          <w:color w:val="1F497D" w:themeColor="text2"/>
          <w:sz w:val="22"/>
          <w:szCs w:val="22"/>
        </w:rPr>
        <w:t xml:space="preserve"> mesi 2019, 2020 </w:t>
      </w:r>
      <w:r w:rsidR="007B76C2">
        <w:rPr>
          <w:rFonts w:ascii="Arial Narrow" w:hAnsi="Arial Narrow" w:cs="Arial"/>
          <w:color w:val="1F497D" w:themeColor="text2"/>
          <w:sz w:val="22"/>
          <w:szCs w:val="22"/>
        </w:rPr>
        <w:t>e</w:t>
      </w:r>
      <w:r w:rsidR="006C678F">
        <w:rPr>
          <w:rFonts w:ascii="Arial Narrow" w:hAnsi="Arial Narrow" w:cs="Arial"/>
          <w:color w:val="1F497D" w:themeColor="text2"/>
          <w:sz w:val="22"/>
          <w:szCs w:val="22"/>
        </w:rPr>
        <w:t xml:space="preserve"> 2021</w:t>
      </w:r>
      <w:r w:rsidRPr="0065736C">
        <w:rPr>
          <w:rFonts w:ascii="Arial Narrow" w:hAnsi="Arial Narrow" w:cs="Arial"/>
          <w:color w:val="1F497D" w:themeColor="text2"/>
          <w:sz w:val="22"/>
          <w:szCs w:val="22"/>
        </w:rPr>
        <w:t xml:space="preserve">, </w:t>
      </w:r>
      <w:r w:rsidR="00AF174E">
        <w:rPr>
          <w:rFonts w:ascii="Arial Narrow" w:hAnsi="Arial Narrow" w:cs="Arial"/>
          <w:color w:val="1F497D" w:themeColor="text2"/>
          <w:sz w:val="22"/>
          <w:szCs w:val="22"/>
        </w:rPr>
        <w:t xml:space="preserve">variazioni </w:t>
      </w:r>
      <w:r w:rsidR="006C678F">
        <w:rPr>
          <w:rFonts w:ascii="Arial Narrow" w:hAnsi="Arial Narrow" w:cs="Arial"/>
          <w:color w:val="1F497D" w:themeColor="text2"/>
          <w:sz w:val="22"/>
          <w:szCs w:val="22"/>
        </w:rPr>
        <w:t>percentuali</w:t>
      </w:r>
    </w:p>
    <w:p w14:paraId="30EAB3E3" w14:textId="44BAFE2B" w:rsidR="00621908" w:rsidRDefault="00621908" w:rsidP="0047284C">
      <w:pPr>
        <w:autoSpaceDE w:val="0"/>
        <w:autoSpaceDN w:val="0"/>
        <w:adjustRightInd w:val="0"/>
        <w:jc w:val="both"/>
        <w:rPr>
          <w:rFonts w:ascii="Arial Narrow" w:hAnsi="Arial Narrow" w:cs="Arial"/>
          <w:color w:val="1F497D" w:themeColor="text2"/>
          <w:sz w:val="22"/>
          <w:szCs w:val="22"/>
        </w:rPr>
      </w:pPr>
    </w:p>
    <w:p w14:paraId="11CD2973" w14:textId="4479047D" w:rsidR="001D3592" w:rsidRPr="000810FD" w:rsidRDefault="005764AF" w:rsidP="000810FD">
      <w:pPr>
        <w:autoSpaceDE w:val="0"/>
        <w:autoSpaceDN w:val="0"/>
        <w:adjustRightInd w:val="0"/>
        <w:jc w:val="both"/>
        <w:rPr>
          <w:rFonts w:ascii="Arial Narrow" w:hAnsi="Arial Narrow" w:cs="Arial"/>
          <w:color w:val="1F497D" w:themeColor="text2"/>
          <w:sz w:val="22"/>
          <w:szCs w:val="22"/>
        </w:rPr>
        <w:sectPr w:rsidR="001D3592" w:rsidRPr="000810FD" w:rsidSect="002261D9">
          <w:headerReference w:type="default" r:id="rId23"/>
          <w:footerReference w:type="default" r:id="rId24"/>
          <w:pgSz w:w="11906" w:h="16838" w:code="9"/>
          <w:pgMar w:top="567" w:right="992" w:bottom="714" w:left="992" w:header="0" w:footer="0" w:gutter="0"/>
          <w:cols w:space="430"/>
          <w:docGrid w:linePitch="360"/>
        </w:sectPr>
      </w:pPr>
      <w:r>
        <w:rPr>
          <w:rFonts w:ascii="Arial Narrow" w:hAnsi="Arial Narrow" w:cs="Arial"/>
          <w:color w:val="1F497D" w:themeColor="text2"/>
          <w:sz w:val="22"/>
          <w:szCs w:val="22"/>
        </w:rPr>
        <w:fldChar w:fldCharType="begin"/>
      </w:r>
      <w:r>
        <w:rPr>
          <w:rFonts w:ascii="Arial Narrow" w:hAnsi="Arial Narrow" w:cs="Arial"/>
          <w:color w:val="1F497D" w:themeColor="text2"/>
          <w:sz w:val="22"/>
          <w:szCs w:val="22"/>
        </w:rPr>
        <w:instrText xml:space="preserve"> LINK Excel.Sheet.12 "C:\\Users\\UTENTE\\Desktop\\Smart working\\Editing Report\\Report matrimoni unioni\\Tavole e grafici_stat repor2022_31 gennaio.xlsx!Fig. 9 sepdiv variaz![Tavole e grafici_stat repor2022_31 gennaio.xlsx]Fig. 9 sepdiv variaz Grafico 1" "" \a \p </w:instrText>
      </w:r>
      <w:r>
        <w:rPr>
          <w:rFonts w:ascii="Arial Narrow" w:hAnsi="Arial Narrow" w:cs="Arial"/>
          <w:color w:val="1F497D" w:themeColor="text2"/>
          <w:sz w:val="22"/>
          <w:szCs w:val="22"/>
        </w:rPr>
        <w:fldChar w:fldCharType="separate"/>
      </w:r>
      <w:r w:rsidR="00096AB9">
        <w:rPr>
          <w:rFonts w:ascii="Arial Narrow" w:hAnsi="Arial Narrow" w:cs="Arial"/>
          <w:color w:val="1F497D" w:themeColor="text2"/>
          <w:sz w:val="22"/>
          <w:szCs w:val="22"/>
        </w:rPr>
        <w:object w:dxaOrig="9465" w:dyaOrig="3263" w14:anchorId="5DB60CD8">
          <v:shape id="_x0000_i1028" type="#_x0000_t75" style="width:523pt;height:180.4pt">
            <v:imagedata r:id="rId25" o:title=""/>
          </v:shape>
        </w:object>
      </w:r>
      <w:r>
        <w:rPr>
          <w:rFonts w:ascii="Arial Narrow" w:hAnsi="Arial Narrow" w:cs="Arial"/>
          <w:color w:val="1F497D" w:themeColor="text2"/>
          <w:sz w:val="22"/>
          <w:szCs w:val="22"/>
        </w:rPr>
        <w:fldChar w:fldCharType="end"/>
      </w:r>
    </w:p>
    <w:p w14:paraId="00C1ECB9" w14:textId="181CB50F" w:rsidR="001A7F1A" w:rsidRPr="003B4168" w:rsidRDefault="001A7F1A" w:rsidP="001C4485">
      <w:pPr>
        <w:autoSpaceDE w:val="0"/>
        <w:autoSpaceDN w:val="0"/>
        <w:adjustRightInd w:val="0"/>
        <w:spacing w:after="120"/>
        <w:jc w:val="both"/>
        <w:outlineLvl w:val="0"/>
        <w:rPr>
          <w:rFonts w:ascii="Georgia" w:hAnsi="Georgia" w:cs="Arial"/>
          <w:color w:val="1F497D" w:themeColor="text2"/>
          <w:sz w:val="48"/>
          <w:szCs w:val="48"/>
        </w:rPr>
      </w:pPr>
      <w:r w:rsidRPr="003B4168">
        <w:rPr>
          <w:rFonts w:ascii="Georgia" w:hAnsi="Georgia" w:cs="Arial"/>
          <w:color w:val="1F497D" w:themeColor="text2"/>
          <w:sz w:val="48"/>
          <w:szCs w:val="48"/>
        </w:rPr>
        <w:lastRenderedPageBreak/>
        <w:t>Glossario</w:t>
      </w:r>
    </w:p>
    <w:p w14:paraId="420ECFFF" w14:textId="5C1FBC3B" w:rsidR="008B4E1D" w:rsidRDefault="00621CCC" w:rsidP="001C4485">
      <w:pPr>
        <w:spacing w:after="120"/>
        <w:jc w:val="both"/>
        <w:outlineLvl w:val="2"/>
        <w:rPr>
          <w:sz w:val="20"/>
          <w:szCs w:val="20"/>
        </w:rPr>
      </w:pPr>
      <w:r>
        <w:rPr>
          <w:rFonts w:ascii="Arial" w:hAnsi="Arial" w:cs="Arial"/>
          <w:b/>
          <w:bCs/>
          <w:noProof/>
          <w:color w:val="1F497D"/>
          <w:sz w:val="20"/>
          <w:szCs w:val="20"/>
        </w:rPr>
        <w:t>Divorzio:</w:t>
      </w:r>
      <w:r w:rsidR="008B4E1D">
        <w:rPr>
          <w:b/>
          <w:bCs/>
          <w:sz w:val="20"/>
          <w:szCs w:val="20"/>
        </w:rPr>
        <w:t xml:space="preserve"> </w:t>
      </w:r>
      <w:r w:rsidR="008B4E1D" w:rsidRPr="00621CCC">
        <w:rPr>
          <w:rFonts w:ascii="Arial" w:hAnsi="Arial" w:cs="Arial"/>
          <w:bCs/>
          <w:noProof/>
          <w:sz w:val="20"/>
          <w:szCs w:val="20"/>
        </w:rPr>
        <w:t>scioglimento o cessazione degli effetti civili del matrimonio in caso, rispettivamente, di matrimonio celebrato con rito civile o di matrimonio celebrato con rito religioso</w:t>
      </w:r>
      <w:r w:rsidR="00CE3A59">
        <w:rPr>
          <w:rFonts w:ascii="Arial" w:hAnsi="Arial" w:cs="Arial"/>
          <w:bCs/>
          <w:noProof/>
          <w:sz w:val="20"/>
          <w:szCs w:val="20"/>
        </w:rPr>
        <w:t xml:space="preserve"> concordatario</w:t>
      </w:r>
      <w:r w:rsidR="008B4E1D" w:rsidRPr="00621CCC">
        <w:rPr>
          <w:rFonts w:ascii="Arial" w:hAnsi="Arial" w:cs="Arial"/>
          <w:bCs/>
          <w:noProof/>
          <w:sz w:val="20"/>
          <w:szCs w:val="20"/>
        </w:rPr>
        <w:t>. Il divorzio è stato introdotto in Italia dalla Legge n. 898 del 1</w:t>
      </w:r>
      <w:r w:rsidR="009A78E7">
        <w:rPr>
          <w:rFonts w:ascii="Arial" w:hAnsi="Arial" w:cs="Arial"/>
          <w:bCs/>
          <w:noProof/>
          <w:sz w:val="20"/>
          <w:szCs w:val="20"/>
        </w:rPr>
        <w:t>°</w:t>
      </w:r>
      <w:r w:rsidR="008B4E1D" w:rsidRPr="00621CCC">
        <w:rPr>
          <w:rFonts w:ascii="Arial" w:hAnsi="Arial" w:cs="Arial"/>
          <w:bCs/>
          <w:noProof/>
          <w:sz w:val="20"/>
          <w:szCs w:val="20"/>
        </w:rPr>
        <w:t xml:space="preserve"> dicembre 1970.</w:t>
      </w:r>
      <w:r w:rsidR="008B4E1D">
        <w:rPr>
          <w:sz w:val="20"/>
          <w:szCs w:val="20"/>
        </w:rPr>
        <w:t xml:space="preserve"> </w:t>
      </w:r>
    </w:p>
    <w:p w14:paraId="599EF69D" w14:textId="4267C325" w:rsidR="0050419F" w:rsidRDefault="00490A29" w:rsidP="001C4485">
      <w:pPr>
        <w:spacing w:after="120"/>
        <w:jc w:val="both"/>
        <w:outlineLvl w:val="2"/>
        <w:rPr>
          <w:rFonts w:ascii="Arial" w:hAnsi="Arial" w:cs="Arial"/>
          <w:bCs/>
          <w:noProof/>
          <w:sz w:val="20"/>
          <w:szCs w:val="20"/>
        </w:rPr>
      </w:pPr>
      <w:r w:rsidRPr="001F0C12">
        <w:rPr>
          <w:rFonts w:ascii="Arial" w:hAnsi="Arial" w:cs="Arial"/>
          <w:b/>
          <w:bCs/>
          <w:noProof/>
          <w:color w:val="1F497D"/>
          <w:sz w:val="20"/>
          <w:szCs w:val="20"/>
        </w:rPr>
        <w:t xml:space="preserve">Età media al primo matrimonio: </w:t>
      </w:r>
      <w:r w:rsidRPr="001F0C12">
        <w:rPr>
          <w:rFonts w:ascii="Arial" w:hAnsi="Arial" w:cs="Arial"/>
          <w:bCs/>
          <w:noProof/>
          <w:sz w:val="20"/>
          <w:szCs w:val="20"/>
        </w:rPr>
        <w:t xml:space="preserve">media delle età al primo matrimonio ponderata con i quozienti specifici di nuzialità per età </w:t>
      </w:r>
      <w:r w:rsidR="008E5E16" w:rsidRPr="001F0C12">
        <w:rPr>
          <w:rFonts w:ascii="Arial" w:hAnsi="Arial" w:cs="Arial"/>
          <w:bCs/>
          <w:noProof/>
          <w:sz w:val="20"/>
          <w:szCs w:val="20"/>
        </w:rPr>
        <w:t>(tra 1</w:t>
      </w:r>
      <w:r w:rsidR="00562900" w:rsidRPr="001F0C12">
        <w:rPr>
          <w:rFonts w:ascii="Arial" w:hAnsi="Arial" w:cs="Arial"/>
          <w:bCs/>
          <w:noProof/>
          <w:sz w:val="20"/>
          <w:szCs w:val="20"/>
        </w:rPr>
        <w:t xml:space="preserve">6 </w:t>
      </w:r>
      <w:r w:rsidR="008E5E16" w:rsidRPr="001F0C12">
        <w:rPr>
          <w:rFonts w:ascii="Arial" w:hAnsi="Arial" w:cs="Arial"/>
          <w:bCs/>
          <w:noProof/>
          <w:sz w:val="20"/>
          <w:szCs w:val="20"/>
        </w:rPr>
        <w:t xml:space="preserve">e 49 anni) </w:t>
      </w:r>
      <w:r w:rsidRPr="001F0C12">
        <w:rPr>
          <w:rFonts w:ascii="Arial" w:hAnsi="Arial" w:cs="Arial"/>
          <w:bCs/>
          <w:noProof/>
          <w:sz w:val="20"/>
          <w:szCs w:val="20"/>
        </w:rPr>
        <w:t>della/o sposa/o.</w:t>
      </w:r>
    </w:p>
    <w:p w14:paraId="68025E84" w14:textId="7781B9EA" w:rsidR="0050419F" w:rsidRPr="0050419F" w:rsidRDefault="0050419F" w:rsidP="001C4485">
      <w:pPr>
        <w:spacing w:after="120"/>
        <w:jc w:val="both"/>
        <w:outlineLvl w:val="2"/>
        <w:rPr>
          <w:rFonts w:ascii="Arial" w:hAnsi="Arial" w:cs="Arial"/>
          <w:bCs/>
          <w:noProof/>
          <w:sz w:val="20"/>
          <w:szCs w:val="20"/>
        </w:rPr>
      </w:pPr>
      <w:r w:rsidRPr="003D5A04">
        <w:rPr>
          <w:rFonts w:ascii="Arial" w:hAnsi="Arial" w:cs="Arial"/>
          <w:b/>
          <w:bCs/>
          <w:noProof/>
          <w:color w:val="1F497D"/>
          <w:sz w:val="20"/>
          <w:szCs w:val="20"/>
        </w:rPr>
        <w:t xml:space="preserve">Età media all’unione civile: </w:t>
      </w:r>
      <w:r w:rsidRPr="003D5A04">
        <w:rPr>
          <w:rFonts w:ascii="Arial" w:hAnsi="Arial" w:cs="Arial"/>
          <w:bCs/>
          <w:noProof/>
          <w:sz w:val="20"/>
          <w:szCs w:val="20"/>
        </w:rPr>
        <w:t>media delle età all’unione civile ponderata con i quozienti specifici di unione civile per età degli uniti.</w:t>
      </w:r>
    </w:p>
    <w:p w14:paraId="50C40E97" w14:textId="2690A11F" w:rsidR="00490A29" w:rsidRPr="000C4223" w:rsidRDefault="00490A29" w:rsidP="001C4485">
      <w:pPr>
        <w:spacing w:after="120"/>
        <w:jc w:val="both"/>
        <w:outlineLvl w:val="2"/>
        <w:rPr>
          <w:rFonts w:ascii="Arial" w:hAnsi="Arial" w:cs="Arial"/>
          <w:bCs/>
          <w:noProof/>
          <w:color w:val="1F497D"/>
          <w:sz w:val="20"/>
          <w:szCs w:val="20"/>
        </w:rPr>
      </w:pPr>
      <w:r w:rsidRPr="001F0C12">
        <w:rPr>
          <w:rFonts w:ascii="Arial" w:hAnsi="Arial" w:cs="Arial"/>
          <w:b/>
          <w:bCs/>
          <w:noProof/>
          <w:color w:val="1F497D"/>
          <w:sz w:val="20"/>
          <w:szCs w:val="20"/>
        </w:rPr>
        <w:t>Indice (o tasso) di primo-nuzialità</w:t>
      </w:r>
      <w:r w:rsidR="00944C96" w:rsidRPr="001F0C12">
        <w:rPr>
          <w:rFonts w:ascii="Arial" w:hAnsi="Arial" w:cs="Arial"/>
          <w:b/>
          <w:bCs/>
          <w:noProof/>
          <w:color w:val="1F497D"/>
          <w:sz w:val="20"/>
          <w:szCs w:val="20"/>
        </w:rPr>
        <w:t xml:space="preserve"> totale</w:t>
      </w:r>
      <w:r w:rsidRPr="001F0C12">
        <w:rPr>
          <w:rFonts w:ascii="Arial" w:hAnsi="Arial" w:cs="Arial"/>
          <w:b/>
          <w:bCs/>
          <w:noProof/>
          <w:color w:val="1F497D"/>
          <w:sz w:val="20"/>
          <w:szCs w:val="20"/>
        </w:rPr>
        <w:t xml:space="preserve">: </w:t>
      </w:r>
      <w:r w:rsidRPr="001F0C12">
        <w:rPr>
          <w:rFonts w:ascii="Arial" w:hAnsi="Arial" w:cs="Arial"/>
          <w:bCs/>
          <w:noProof/>
          <w:sz w:val="20"/>
          <w:szCs w:val="20"/>
        </w:rPr>
        <w:t>somma dei quozienti specifici di nuzialità calcolati rapportando, per ogni età</w:t>
      </w:r>
      <w:r w:rsidR="008E5E16" w:rsidRPr="001F0C12">
        <w:rPr>
          <w:rFonts w:ascii="Arial" w:hAnsi="Arial" w:cs="Arial"/>
          <w:bCs/>
          <w:noProof/>
          <w:sz w:val="20"/>
          <w:szCs w:val="20"/>
        </w:rPr>
        <w:t xml:space="preserve"> </w:t>
      </w:r>
      <w:r w:rsidRPr="001F0C12">
        <w:rPr>
          <w:rFonts w:ascii="Arial" w:hAnsi="Arial" w:cs="Arial"/>
          <w:bCs/>
          <w:noProof/>
          <w:sz w:val="20"/>
          <w:szCs w:val="20"/>
        </w:rPr>
        <w:t>il numero d</w:t>
      </w:r>
      <w:r w:rsidR="00730685" w:rsidRPr="001F0C12">
        <w:rPr>
          <w:rFonts w:ascii="Arial" w:hAnsi="Arial" w:cs="Arial"/>
          <w:bCs/>
          <w:noProof/>
          <w:sz w:val="20"/>
          <w:szCs w:val="20"/>
        </w:rPr>
        <w:t xml:space="preserve">i sposi/e che celebrano il loro </w:t>
      </w:r>
      <w:r w:rsidRPr="001F0C12">
        <w:rPr>
          <w:rFonts w:ascii="Arial" w:hAnsi="Arial" w:cs="Arial"/>
          <w:bCs/>
          <w:noProof/>
          <w:sz w:val="20"/>
          <w:szCs w:val="20"/>
        </w:rPr>
        <w:t>prim</w:t>
      </w:r>
      <w:r w:rsidR="00730685" w:rsidRPr="001F0C12">
        <w:rPr>
          <w:rFonts w:ascii="Arial" w:hAnsi="Arial" w:cs="Arial"/>
          <w:bCs/>
          <w:noProof/>
          <w:sz w:val="20"/>
          <w:szCs w:val="20"/>
        </w:rPr>
        <w:t>o</w:t>
      </w:r>
      <w:r w:rsidRPr="001F0C12">
        <w:rPr>
          <w:rFonts w:ascii="Arial" w:hAnsi="Arial" w:cs="Arial"/>
          <w:bCs/>
          <w:noProof/>
          <w:sz w:val="20"/>
          <w:szCs w:val="20"/>
        </w:rPr>
        <w:t xml:space="preserve"> matrimoni</w:t>
      </w:r>
      <w:r w:rsidR="00730685" w:rsidRPr="001F0C12">
        <w:rPr>
          <w:rFonts w:ascii="Arial" w:hAnsi="Arial" w:cs="Arial"/>
          <w:bCs/>
          <w:noProof/>
          <w:sz w:val="20"/>
          <w:szCs w:val="20"/>
        </w:rPr>
        <w:t>o</w:t>
      </w:r>
      <w:r w:rsidRPr="001F0C12">
        <w:rPr>
          <w:rFonts w:ascii="Arial" w:hAnsi="Arial" w:cs="Arial"/>
          <w:bCs/>
          <w:noProof/>
          <w:sz w:val="20"/>
          <w:szCs w:val="20"/>
        </w:rPr>
        <w:t xml:space="preserve"> all’ammontare medio della </w:t>
      </w:r>
      <w:r w:rsidR="00730685" w:rsidRPr="001F0C12">
        <w:rPr>
          <w:rFonts w:ascii="Arial" w:hAnsi="Arial" w:cs="Arial"/>
          <w:bCs/>
          <w:noProof/>
          <w:sz w:val="20"/>
          <w:szCs w:val="20"/>
        </w:rPr>
        <w:t xml:space="preserve">corrispondente </w:t>
      </w:r>
      <w:r w:rsidRPr="001F0C12">
        <w:rPr>
          <w:rFonts w:ascii="Arial" w:hAnsi="Arial" w:cs="Arial"/>
          <w:bCs/>
          <w:noProof/>
          <w:sz w:val="20"/>
          <w:szCs w:val="20"/>
        </w:rPr>
        <w:t>popolazione.</w:t>
      </w:r>
      <w:r w:rsidR="005D318D" w:rsidRPr="001F0C12">
        <w:rPr>
          <w:rFonts w:ascii="Arial" w:hAnsi="Arial" w:cs="Arial"/>
          <w:bCs/>
          <w:noProof/>
          <w:sz w:val="20"/>
          <w:szCs w:val="20"/>
        </w:rPr>
        <w:t xml:space="preserve"> L’indicatore può essere calcolato considerando tutte le età da 16 anni compiuti in poi, oppure può essere riferito ad un intervallo specifico. A tale propostito il calcolo dell’indicatore tra 16-49 anni è usualmente diffuso dall’Istat per il monitoraggio dell’evoluzione dei processi di formazione delle nuove famiglie e per il legame con la fecondità.</w:t>
      </w:r>
      <w:r w:rsidR="005D318D">
        <w:rPr>
          <w:rFonts w:ascii="Arial" w:hAnsi="Arial" w:cs="Arial"/>
          <w:bCs/>
          <w:noProof/>
          <w:sz w:val="20"/>
          <w:szCs w:val="20"/>
        </w:rPr>
        <w:t xml:space="preserve"> </w:t>
      </w:r>
    </w:p>
    <w:p w14:paraId="0C70A0D8" w14:textId="77777777" w:rsidR="00490A29" w:rsidRPr="000C4223" w:rsidRDefault="00490A29" w:rsidP="001C4485">
      <w:pPr>
        <w:spacing w:after="120"/>
        <w:jc w:val="both"/>
        <w:outlineLvl w:val="2"/>
        <w:rPr>
          <w:rFonts w:ascii="Arial" w:hAnsi="Arial" w:cs="Arial"/>
          <w:bCs/>
          <w:noProof/>
          <w:color w:val="1F497D"/>
          <w:sz w:val="20"/>
          <w:szCs w:val="20"/>
        </w:rPr>
      </w:pPr>
      <w:r w:rsidRPr="00490A29">
        <w:rPr>
          <w:rFonts w:ascii="Arial" w:hAnsi="Arial" w:cs="Arial"/>
          <w:b/>
          <w:bCs/>
          <w:noProof/>
          <w:color w:val="1F497D"/>
          <w:sz w:val="20"/>
          <w:szCs w:val="20"/>
        </w:rPr>
        <w:t xml:space="preserve">Matrimonio misto: </w:t>
      </w:r>
      <w:r w:rsidRPr="000C4223">
        <w:rPr>
          <w:rFonts w:ascii="Arial" w:hAnsi="Arial" w:cs="Arial"/>
          <w:bCs/>
          <w:noProof/>
          <w:sz w:val="20"/>
          <w:szCs w:val="20"/>
        </w:rPr>
        <w:t>celebrazione in cui uno dei due sposi è di cittadinanza straniera e l’altro di cittadinanza italiana.</w:t>
      </w:r>
    </w:p>
    <w:p w14:paraId="781F2600" w14:textId="29F337D0" w:rsidR="00490A29" w:rsidRDefault="00490A29" w:rsidP="001C4485">
      <w:pPr>
        <w:spacing w:after="120"/>
        <w:jc w:val="both"/>
        <w:outlineLvl w:val="2"/>
        <w:rPr>
          <w:rFonts w:ascii="Arial" w:hAnsi="Arial" w:cs="Arial"/>
          <w:bCs/>
          <w:noProof/>
          <w:sz w:val="20"/>
          <w:szCs w:val="20"/>
        </w:rPr>
      </w:pPr>
      <w:r w:rsidRPr="00490A29">
        <w:rPr>
          <w:rFonts w:ascii="Arial" w:hAnsi="Arial" w:cs="Arial"/>
          <w:b/>
          <w:bCs/>
          <w:noProof/>
          <w:color w:val="1F497D"/>
          <w:sz w:val="20"/>
          <w:szCs w:val="20"/>
        </w:rPr>
        <w:t xml:space="preserve">Nuzialità (quoziente di): </w:t>
      </w:r>
      <w:r w:rsidRPr="000C4223">
        <w:rPr>
          <w:rFonts w:ascii="Arial" w:hAnsi="Arial" w:cs="Arial"/>
          <w:bCs/>
          <w:noProof/>
          <w:sz w:val="20"/>
          <w:szCs w:val="20"/>
        </w:rPr>
        <w:t>rapporto tra il numero di matrimoni celebrati nell'anno e l'ammontare medio della popolazione residente (per 1000).</w:t>
      </w:r>
    </w:p>
    <w:p w14:paraId="72B0FC34" w14:textId="10CC76D7" w:rsidR="00730685" w:rsidRPr="00562900" w:rsidRDefault="00730685" w:rsidP="001C4485">
      <w:pPr>
        <w:spacing w:after="120"/>
        <w:jc w:val="both"/>
        <w:outlineLvl w:val="2"/>
        <w:rPr>
          <w:rFonts w:ascii="Arial" w:hAnsi="Arial" w:cs="Arial"/>
          <w:bCs/>
          <w:noProof/>
          <w:sz w:val="20"/>
          <w:szCs w:val="20"/>
        </w:rPr>
      </w:pPr>
      <w:r w:rsidRPr="00490A29">
        <w:rPr>
          <w:rFonts w:ascii="Arial" w:hAnsi="Arial" w:cs="Arial"/>
          <w:b/>
          <w:bCs/>
          <w:noProof/>
          <w:color w:val="1F497D"/>
          <w:sz w:val="20"/>
          <w:szCs w:val="20"/>
        </w:rPr>
        <w:t xml:space="preserve">Nuzialità (quoziente </w:t>
      </w:r>
      <w:r>
        <w:rPr>
          <w:rFonts w:ascii="Arial" w:hAnsi="Arial" w:cs="Arial"/>
          <w:b/>
          <w:bCs/>
          <w:noProof/>
          <w:color w:val="1F497D"/>
          <w:sz w:val="20"/>
          <w:szCs w:val="20"/>
        </w:rPr>
        <w:t xml:space="preserve">specifico </w:t>
      </w:r>
      <w:r w:rsidRPr="00490A29">
        <w:rPr>
          <w:rFonts w:ascii="Arial" w:hAnsi="Arial" w:cs="Arial"/>
          <w:b/>
          <w:bCs/>
          <w:noProof/>
          <w:color w:val="1F497D"/>
          <w:sz w:val="20"/>
          <w:szCs w:val="20"/>
        </w:rPr>
        <w:t xml:space="preserve">di): </w:t>
      </w:r>
      <w:r w:rsidRPr="000C4223">
        <w:rPr>
          <w:rFonts w:ascii="Arial" w:hAnsi="Arial" w:cs="Arial"/>
          <w:bCs/>
          <w:noProof/>
          <w:sz w:val="20"/>
          <w:szCs w:val="20"/>
        </w:rPr>
        <w:t xml:space="preserve">rapporto tra il numero </w:t>
      </w:r>
      <w:r>
        <w:rPr>
          <w:rFonts w:ascii="Arial" w:hAnsi="Arial" w:cs="Arial"/>
          <w:bCs/>
          <w:noProof/>
          <w:sz w:val="20"/>
          <w:szCs w:val="20"/>
        </w:rPr>
        <w:t xml:space="preserve">degli/delle sposi/e in età x </w:t>
      </w:r>
      <w:r w:rsidRPr="000C4223">
        <w:rPr>
          <w:rFonts w:ascii="Arial" w:hAnsi="Arial" w:cs="Arial"/>
          <w:bCs/>
          <w:noProof/>
          <w:sz w:val="20"/>
          <w:szCs w:val="20"/>
        </w:rPr>
        <w:t xml:space="preserve">nell'anno e l'ammontare medio della </w:t>
      </w:r>
      <w:r>
        <w:rPr>
          <w:rFonts w:ascii="Arial" w:hAnsi="Arial" w:cs="Arial"/>
          <w:bCs/>
          <w:noProof/>
          <w:sz w:val="20"/>
          <w:szCs w:val="20"/>
        </w:rPr>
        <w:t xml:space="preserve">corrispondente </w:t>
      </w:r>
      <w:r w:rsidRPr="000C4223">
        <w:rPr>
          <w:rFonts w:ascii="Arial" w:hAnsi="Arial" w:cs="Arial"/>
          <w:bCs/>
          <w:noProof/>
          <w:sz w:val="20"/>
          <w:szCs w:val="20"/>
        </w:rPr>
        <w:t xml:space="preserve">popolazione residente </w:t>
      </w:r>
      <w:r>
        <w:rPr>
          <w:rFonts w:ascii="Arial" w:hAnsi="Arial" w:cs="Arial"/>
          <w:bCs/>
          <w:noProof/>
          <w:sz w:val="20"/>
          <w:szCs w:val="20"/>
        </w:rPr>
        <w:t xml:space="preserve">dela stessa età e sesso </w:t>
      </w:r>
      <w:r w:rsidRPr="000C4223">
        <w:rPr>
          <w:rFonts w:ascii="Arial" w:hAnsi="Arial" w:cs="Arial"/>
          <w:bCs/>
          <w:noProof/>
          <w:sz w:val="20"/>
          <w:szCs w:val="20"/>
        </w:rPr>
        <w:t>(per 1000).</w:t>
      </w:r>
    </w:p>
    <w:p w14:paraId="5E01D7B7" w14:textId="77777777" w:rsidR="00490A29" w:rsidRPr="000C4223" w:rsidRDefault="00490A29" w:rsidP="001C4485">
      <w:pPr>
        <w:spacing w:after="120"/>
        <w:jc w:val="both"/>
        <w:outlineLvl w:val="2"/>
        <w:rPr>
          <w:rFonts w:ascii="Arial" w:hAnsi="Arial" w:cs="Arial"/>
          <w:bCs/>
          <w:noProof/>
          <w:color w:val="1F497D"/>
          <w:sz w:val="20"/>
          <w:szCs w:val="20"/>
        </w:rPr>
      </w:pPr>
      <w:r w:rsidRPr="00490A29">
        <w:rPr>
          <w:rFonts w:ascii="Arial" w:hAnsi="Arial" w:cs="Arial"/>
          <w:b/>
          <w:bCs/>
          <w:noProof/>
          <w:color w:val="1F497D"/>
          <w:sz w:val="20"/>
          <w:szCs w:val="20"/>
        </w:rPr>
        <w:t xml:space="preserve">Primo matrimonio: </w:t>
      </w:r>
      <w:r w:rsidRPr="000C4223">
        <w:rPr>
          <w:rFonts w:ascii="Arial" w:hAnsi="Arial" w:cs="Arial"/>
          <w:bCs/>
          <w:noProof/>
          <w:sz w:val="20"/>
          <w:szCs w:val="20"/>
        </w:rPr>
        <w:t>celebrazione in cui lo stato civile dello sposo/a al momento delle nozze è celibe/nubile.</w:t>
      </w:r>
    </w:p>
    <w:p w14:paraId="07BD824B" w14:textId="4885025E" w:rsidR="00490A29" w:rsidRPr="000C4223" w:rsidRDefault="00490A29" w:rsidP="001C4485">
      <w:pPr>
        <w:spacing w:after="120"/>
        <w:jc w:val="both"/>
        <w:outlineLvl w:val="2"/>
        <w:rPr>
          <w:rFonts w:ascii="Arial" w:hAnsi="Arial" w:cs="Arial"/>
          <w:bCs/>
          <w:noProof/>
          <w:color w:val="1F497D"/>
          <w:sz w:val="20"/>
          <w:szCs w:val="20"/>
        </w:rPr>
      </w:pPr>
      <w:r w:rsidRPr="00490A29">
        <w:rPr>
          <w:rFonts w:ascii="Arial" w:hAnsi="Arial" w:cs="Arial"/>
          <w:b/>
          <w:bCs/>
          <w:noProof/>
          <w:color w:val="1F497D"/>
          <w:sz w:val="20"/>
          <w:szCs w:val="20"/>
        </w:rPr>
        <w:t xml:space="preserve">Regime patrimoniale: </w:t>
      </w:r>
      <w:r w:rsidRPr="000C4223">
        <w:rPr>
          <w:rFonts w:ascii="Arial" w:hAnsi="Arial" w:cs="Arial"/>
          <w:bCs/>
          <w:noProof/>
          <w:sz w:val="20"/>
          <w:szCs w:val="20"/>
        </w:rPr>
        <w:t xml:space="preserve">il matrimonio instaura automaticamente il regime patrimoniale della Comunione dei beni (comunione legale), introdotta dalla Riforma del diritto di </w:t>
      </w:r>
      <w:r w:rsidR="008E50F9">
        <w:rPr>
          <w:rFonts w:ascii="Arial" w:hAnsi="Arial" w:cs="Arial"/>
          <w:bCs/>
          <w:noProof/>
          <w:sz w:val="20"/>
          <w:szCs w:val="20"/>
        </w:rPr>
        <w:t>f</w:t>
      </w:r>
      <w:r w:rsidRPr="000C4223">
        <w:rPr>
          <w:rFonts w:ascii="Arial" w:hAnsi="Arial" w:cs="Arial"/>
          <w:bCs/>
          <w:noProof/>
          <w:sz w:val="20"/>
          <w:szCs w:val="20"/>
        </w:rPr>
        <w:t>amiglia del 1975. Con la separazione dei beni (art. 215 Codice Civile), invece, ciascun coniuge conserva la titolarità esclusiva dei beni acquistati durante il matrimonio.</w:t>
      </w:r>
      <w:r w:rsidRPr="000C4223">
        <w:rPr>
          <w:rFonts w:ascii="Arial" w:hAnsi="Arial" w:cs="Arial"/>
          <w:bCs/>
          <w:noProof/>
          <w:color w:val="1F497D"/>
          <w:sz w:val="20"/>
          <w:szCs w:val="20"/>
        </w:rPr>
        <w:t xml:space="preserve"> </w:t>
      </w:r>
    </w:p>
    <w:p w14:paraId="0C3C1F90" w14:textId="74EE993C" w:rsidR="00490A29" w:rsidRPr="000C4223" w:rsidRDefault="00490A29" w:rsidP="001C4485">
      <w:pPr>
        <w:spacing w:after="120"/>
        <w:jc w:val="both"/>
        <w:outlineLvl w:val="2"/>
        <w:rPr>
          <w:rFonts w:ascii="Arial" w:hAnsi="Arial" w:cs="Arial"/>
          <w:bCs/>
          <w:noProof/>
          <w:color w:val="1F497D"/>
          <w:sz w:val="20"/>
          <w:szCs w:val="20"/>
        </w:rPr>
      </w:pPr>
      <w:r w:rsidRPr="00490A29">
        <w:rPr>
          <w:rFonts w:ascii="Arial" w:hAnsi="Arial" w:cs="Arial"/>
          <w:b/>
          <w:bCs/>
          <w:noProof/>
          <w:color w:val="1F497D"/>
          <w:sz w:val="20"/>
          <w:szCs w:val="20"/>
        </w:rPr>
        <w:t xml:space="preserve">Rito del matrimonio: </w:t>
      </w:r>
      <w:r w:rsidRPr="000C4223">
        <w:rPr>
          <w:rFonts w:ascii="Arial" w:hAnsi="Arial" w:cs="Arial"/>
          <w:bCs/>
          <w:noProof/>
          <w:sz w:val="20"/>
          <w:szCs w:val="20"/>
        </w:rPr>
        <w:t xml:space="preserve">la celebrazione del matrimonio può avvenire davanti all'Ufficiale di </w:t>
      </w:r>
      <w:r w:rsidR="005C35E9">
        <w:rPr>
          <w:rFonts w:ascii="Arial" w:hAnsi="Arial" w:cs="Arial"/>
          <w:bCs/>
          <w:noProof/>
          <w:sz w:val="20"/>
          <w:szCs w:val="20"/>
        </w:rPr>
        <w:t>S</w:t>
      </w:r>
      <w:r w:rsidRPr="000C4223">
        <w:rPr>
          <w:rFonts w:ascii="Arial" w:hAnsi="Arial" w:cs="Arial"/>
          <w:bCs/>
          <w:noProof/>
          <w:sz w:val="20"/>
          <w:szCs w:val="20"/>
        </w:rPr>
        <w:t xml:space="preserve">tato </w:t>
      </w:r>
      <w:r w:rsidR="005C35E9">
        <w:rPr>
          <w:rFonts w:ascii="Arial" w:hAnsi="Arial" w:cs="Arial"/>
          <w:bCs/>
          <w:noProof/>
          <w:sz w:val="20"/>
          <w:szCs w:val="20"/>
        </w:rPr>
        <w:t>C</w:t>
      </w:r>
      <w:r w:rsidRPr="000C4223">
        <w:rPr>
          <w:rFonts w:ascii="Arial" w:hAnsi="Arial" w:cs="Arial"/>
          <w:bCs/>
          <w:noProof/>
          <w:sz w:val="20"/>
          <w:szCs w:val="20"/>
        </w:rPr>
        <w:t>ivile</w:t>
      </w:r>
      <w:r w:rsidR="00BB292E">
        <w:rPr>
          <w:rFonts w:ascii="Arial" w:hAnsi="Arial" w:cs="Arial"/>
          <w:bCs/>
          <w:noProof/>
          <w:sz w:val="20"/>
          <w:szCs w:val="20"/>
        </w:rPr>
        <w:t xml:space="preserve"> (matrimonio con il rito civile)</w:t>
      </w:r>
      <w:r w:rsidRPr="000C4223">
        <w:rPr>
          <w:rFonts w:ascii="Arial" w:hAnsi="Arial" w:cs="Arial"/>
          <w:bCs/>
          <w:noProof/>
          <w:sz w:val="20"/>
          <w:szCs w:val="20"/>
        </w:rPr>
        <w:t>, oppure davanti a un ministro di culto cattolico o di uno degli altri culti ammessi dallo Stato. In tale ultimo caso, il matrimonio può comunque produrre effetti sul piano civile (si parla di matrimonio concordatario).</w:t>
      </w:r>
    </w:p>
    <w:p w14:paraId="79938025" w14:textId="77777777" w:rsidR="00490A29" w:rsidRDefault="00490A29" w:rsidP="001C4485">
      <w:pPr>
        <w:spacing w:after="120"/>
        <w:jc w:val="both"/>
        <w:outlineLvl w:val="2"/>
        <w:rPr>
          <w:rFonts w:ascii="Arial" w:hAnsi="Arial" w:cs="Arial"/>
          <w:bCs/>
          <w:noProof/>
          <w:sz w:val="20"/>
          <w:szCs w:val="20"/>
        </w:rPr>
      </w:pPr>
      <w:r w:rsidRPr="00490A29">
        <w:rPr>
          <w:rFonts w:ascii="Arial" w:hAnsi="Arial" w:cs="Arial"/>
          <w:b/>
          <w:bCs/>
          <w:noProof/>
          <w:color w:val="1F497D"/>
          <w:sz w:val="20"/>
          <w:szCs w:val="20"/>
        </w:rPr>
        <w:t xml:space="preserve">Seconde nozze: </w:t>
      </w:r>
      <w:r w:rsidRPr="000C4223">
        <w:rPr>
          <w:rFonts w:ascii="Arial" w:hAnsi="Arial" w:cs="Arial"/>
          <w:bCs/>
          <w:noProof/>
          <w:sz w:val="20"/>
          <w:szCs w:val="20"/>
        </w:rPr>
        <w:t>matrimoni in cui almeno uno sposo è stato già coniugato.</w:t>
      </w:r>
    </w:p>
    <w:p w14:paraId="42E370C8" w14:textId="43A353E4" w:rsidR="00CC689B" w:rsidRDefault="00CC689B" w:rsidP="001C4485">
      <w:pPr>
        <w:spacing w:after="120"/>
        <w:jc w:val="both"/>
        <w:rPr>
          <w:rFonts w:ascii="Arial" w:hAnsi="Arial" w:cs="Arial"/>
          <w:sz w:val="20"/>
          <w:szCs w:val="20"/>
        </w:rPr>
      </w:pPr>
      <w:r>
        <w:rPr>
          <w:rFonts w:ascii="Arial" w:hAnsi="Arial" w:cs="Arial"/>
          <w:b/>
          <w:bCs/>
          <w:noProof/>
          <w:color w:val="1F497D"/>
          <w:sz w:val="20"/>
          <w:szCs w:val="20"/>
        </w:rPr>
        <w:t>Separazione consensuale:</w:t>
      </w:r>
      <w:r>
        <w:rPr>
          <w:rFonts w:ascii="Arial" w:hAnsi="Arial" w:cs="Arial"/>
          <w:sz w:val="20"/>
          <w:szCs w:val="20"/>
        </w:rPr>
        <w:t xml:space="preserve"> accordo fra i coniugi con il quale vengono stabilite le modalità di affidamento dei figli, gli eventuali assegni familiari, la divisione dei beni. In conseguenza di quanto stabilito dagli artt. 6 e 12 del </w:t>
      </w:r>
      <w:r w:rsidR="003E32B7">
        <w:rPr>
          <w:rFonts w:ascii="Arial" w:hAnsi="Arial" w:cs="Arial"/>
          <w:sz w:val="20"/>
          <w:szCs w:val="20"/>
        </w:rPr>
        <w:t>D</w:t>
      </w:r>
      <w:r>
        <w:rPr>
          <w:rFonts w:ascii="Arial" w:hAnsi="Arial" w:cs="Arial"/>
          <w:sz w:val="20"/>
          <w:szCs w:val="20"/>
        </w:rPr>
        <w:t xml:space="preserve">ecreto </w:t>
      </w:r>
      <w:r w:rsidR="003E32B7">
        <w:rPr>
          <w:rFonts w:ascii="Arial" w:hAnsi="Arial" w:cs="Arial"/>
          <w:sz w:val="20"/>
          <w:szCs w:val="20"/>
        </w:rPr>
        <w:t>l</w:t>
      </w:r>
      <w:r>
        <w:rPr>
          <w:rFonts w:ascii="Arial" w:hAnsi="Arial" w:cs="Arial"/>
          <w:sz w:val="20"/>
          <w:szCs w:val="20"/>
        </w:rPr>
        <w:t xml:space="preserve">egge 132/2014, vengono introdotte due nuove fattispecie per chi intenda separarsi consensualmente in alternativa alla tradizionale ratifica da parte del giudice: convenzione di negoziazione assistita da almeno un avvocato per parte (ex art. 6); innanzi </w:t>
      </w:r>
      <w:r w:rsidR="009A78E7">
        <w:rPr>
          <w:rFonts w:ascii="Arial" w:hAnsi="Arial" w:cs="Arial"/>
          <w:sz w:val="20"/>
          <w:szCs w:val="20"/>
        </w:rPr>
        <w:t xml:space="preserve">all’Ufficiale </w:t>
      </w:r>
      <w:r>
        <w:rPr>
          <w:rFonts w:ascii="Arial" w:hAnsi="Arial" w:cs="Arial"/>
          <w:sz w:val="20"/>
          <w:szCs w:val="20"/>
        </w:rPr>
        <w:t xml:space="preserve">di </w:t>
      </w:r>
      <w:r w:rsidR="009A78E7">
        <w:rPr>
          <w:rFonts w:ascii="Arial" w:hAnsi="Arial" w:cs="Arial"/>
          <w:sz w:val="20"/>
          <w:szCs w:val="20"/>
        </w:rPr>
        <w:t>S</w:t>
      </w:r>
      <w:r>
        <w:rPr>
          <w:rFonts w:ascii="Arial" w:hAnsi="Arial" w:cs="Arial"/>
          <w:sz w:val="20"/>
          <w:szCs w:val="20"/>
        </w:rPr>
        <w:t xml:space="preserve">tato </w:t>
      </w:r>
      <w:r w:rsidR="009A78E7">
        <w:rPr>
          <w:rFonts w:ascii="Arial" w:hAnsi="Arial" w:cs="Arial"/>
          <w:sz w:val="20"/>
          <w:szCs w:val="20"/>
        </w:rPr>
        <w:t>C</w:t>
      </w:r>
      <w:r>
        <w:rPr>
          <w:rFonts w:ascii="Arial" w:hAnsi="Arial" w:cs="Arial"/>
          <w:sz w:val="20"/>
          <w:szCs w:val="20"/>
        </w:rPr>
        <w:t>ivile in assenza di patti di trasferimento patrimoniale e di figli minori, di figli maggiorenni incapaci o portatori di handicap grave ai sensi dell'articolo 3, comma 3, della Legge 5 febbraio 1992, n. 104, ovvero economicamente non autosufficienti (ex art. 12).</w:t>
      </w:r>
    </w:p>
    <w:p w14:paraId="28D36D0A" w14:textId="50CA0E94" w:rsidR="00CC689B" w:rsidRPr="00CC689B" w:rsidRDefault="00CC689B" w:rsidP="001C4485">
      <w:pPr>
        <w:spacing w:after="120"/>
        <w:jc w:val="both"/>
        <w:rPr>
          <w:rFonts w:ascii="Arial" w:hAnsi="Arial" w:cs="Arial"/>
          <w:b/>
          <w:bCs/>
          <w:sz w:val="20"/>
          <w:szCs w:val="20"/>
        </w:rPr>
      </w:pPr>
      <w:r>
        <w:rPr>
          <w:rFonts w:ascii="Arial" w:hAnsi="Arial" w:cs="Arial"/>
          <w:b/>
          <w:bCs/>
          <w:noProof/>
          <w:color w:val="1F497D"/>
          <w:sz w:val="20"/>
          <w:szCs w:val="20"/>
        </w:rPr>
        <w:t>Separazione giudiziale:</w:t>
      </w:r>
      <w:r>
        <w:rPr>
          <w:rFonts w:ascii="Arial" w:hAnsi="Arial" w:cs="Arial"/>
          <w:sz w:val="20"/>
          <w:szCs w:val="20"/>
        </w:rPr>
        <w:t xml:space="preserve"> vero e proprio procedimento contenzioso su istanza di uno dei due coniugi, successiva istruttoria e pronunciamento di una sentenza di separazione.</w:t>
      </w:r>
    </w:p>
    <w:p w14:paraId="2AA80B6C" w14:textId="31B8AF4F" w:rsidR="00345555" w:rsidRDefault="00345555" w:rsidP="001C4485">
      <w:pPr>
        <w:spacing w:after="120"/>
        <w:jc w:val="both"/>
        <w:outlineLvl w:val="2"/>
      </w:pPr>
      <w:r w:rsidRPr="00345555">
        <w:rPr>
          <w:rFonts w:ascii="Arial" w:hAnsi="Arial" w:cs="Arial"/>
          <w:b/>
          <w:bCs/>
          <w:noProof/>
          <w:color w:val="1F497D"/>
          <w:sz w:val="20"/>
          <w:szCs w:val="20"/>
        </w:rPr>
        <w:t>Stato civile:</w:t>
      </w:r>
      <w:r>
        <w:t xml:space="preserve"> </w:t>
      </w:r>
      <w:r w:rsidRPr="00345555">
        <w:rPr>
          <w:rFonts w:ascii="Arial" w:hAnsi="Arial" w:cs="Arial"/>
          <w:bCs/>
          <w:noProof/>
          <w:sz w:val="20"/>
          <w:szCs w:val="20"/>
        </w:rPr>
        <w:t xml:space="preserve">condizione di ogni cittadino nei confronti dello </w:t>
      </w:r>
      <w:r w:rsidR="008E50F9">
        <w:rPr>
          <w:rFonts w:ascii="Arial" w:hAnsi="Arial" w:cs="Arial"/>
          <w:bCs/>
          <w:noProof/>
          <w:sz w:val="20"/>
          <w:szCs w:val="20"/>
        </w:rPr>
        <w:t>S</w:t>
      </w:r>
      <w:r w:rsidRPr="00345555">
        <w:rPr>
          <w:rFonts w:ascii="Arial" w:hAnsi="Arial" w:cs="Arial"/>
          <w:bCs/>
          <w:noProof/>
          <w:sz w:val="20"/>
          <w:szCs w:val="20"/>
        </w:rPr>
        <w:t>tato per quanto attiene al matrimonio o all'unione civile. Si definisce celibe o nubile il cittadino rispettivamente di sesso maschile o femminile che non ha mai contratto matrimonio o unione civile; coniugato/a il cittadino sposato che non ha ottenuto lo scioglimento o la cessazione degli effetti civili del matrimonio; divorziato/a il cittadino coniugato che ha ottenuto lo scioglimento o la cessazione degli effetti civili del matrimonio; vedovo/a il cittadino il cui matrimonio è cessato per decesso del coniuge; unito/a civilmente il cittadino unito che non ha ottenuto lo scioglimento dell’unione civile; già unito/a civilmente (per scioglimento dell’unione) il cittadino unito che ha ottenuto lo scioglimento dell’unione civile; già unito/a civilmente (per decesso del partner) il cittadino la cui unione è cessata per decesso del partner.</w:t>
      </w:r>
      <w:r>
        <w:t xml:space="preserve"> </w:t>
      </w:r>
    </w:p>
    <w:p w14:paraId="0BCAEB01" w14:textId="411A048A" w:rsidR="00345555" w:rsidRDefault="00345555" w:rsidP="001C4485">
      <w:pPr>
        <w:spacing w:after="120"/>
        <w:jc w:val="both"/>
        <w:outlineLvl w:val="2"/>
        <w:rPr>
          <w:rFonts w:ascii="Arial" w:hAnsi="Arial" w:cs="Arial"/>
          <w:bCs/>
          <w:noProof/>
          <w:sz w:val="20"/>
          <w:szCs w:val="20"/>
        </w:rPr>
      </w:pPr>
      <w:r w:rsidRPr="00345555">
        <w:rPr>
          <w:rFonts w:ascii="Arial" w:hAnsi="Arial" w:cs="Arial"/>
          <w:b/>
          <w:bCs/>
          <w:noProof/>
          <w:color w:val="1F497D"/>
          <w:sz w:val="20"/>
          <w:szCs w:val="20"/>
        </w:rPr>
        <w:t>Unioni civili:</w:t>
      </w:r>
      <w:r>
        <w:t xml:space="preserve"> </w:t>
      </w:r>
      <w:r w:rsidRPr="00345555">
        <w:rPr>
          <w:rFonts w:ascii="Arial" w:hAnsi="Arial" w:cs="Arial"/>
          <w:bCs/>
          <w:noProof/>
          <w:sz w:val="20"/>
          <w:szCs w:val="20"/>
        </w:rPr>
        <w:t xml:space="preserve">con l’emanazione della </w:t>
      </w:r>
      <w:r w:rsidR="003E32B7">
        <w:rPr>
          <w:rFonts w:ascii="Arial" w:hAnsi="Arial" w:cs="Arial"/>
          <w:bCs/>
          <w:noProof/>
          <w:sz w:val="20"/>
          <w:szCs w:val="20"/>
        </w:rPr>
        <w:t>L</w:t>
      </w:r>
      <w:r w:rsidRPr="00345555">
        <w:rPr>
          <w:rFonts w:ascii="Arial" w:hAnsi="Arial" w:cs="Arial"/>
          <w:bCs/>
          <w:noProof/>
          <w:sz w:val="20"/>
          <w:szCs w:val="20"/>
        </w:rPr>
        <w:t>egge 20 maggio 2016, n. 76 sulla “Regolamentazione delle unioni civili tra persone dello stesso sesso e disciplina delle convivenze”, è stata introdotta in Italia l’istituzione di unioni tra persone dello stesso sesso e delle convivenze di fatto.</w:t>
      </w:r>
    </w:p>
    <w:p w14:paraId="02A644C2" w14:textId="77777777" w:rsidR="00490A29" w:rsidRPr="000C4223" w:rsidRDefault="00490A29" w:rsidP="001C4485">
      <w:pPr>
        <w:spacing w:after="120"/>
        <w:jc w:val="both"/>
        <w:outlineLvl w:val="2"/>
        <w:rPr>
          <w:rFonts w:ascii="Arial" w:hAnsi="Arial" w:cs="Arial"/>
          <w:bCs/>
          <w:noProof/>
          <w:sz w:val="20"/>
          <w:szCs w:val="20"/>
        </w:rPr>
      </w:pPr>
      <w:r w:rsidRPr="00490A29">
        <w:rPr>
          <w:rFonts w:ascii="Arial" w:hAnsi="Arial" w:cs="Arial"/>
          <w:b/>
          <w:bCs/>
          <w:noProof/>
          <w:color w:val="1F497D"/>
          <w:sz w:val="20"/>
          <w:szCs w:val="20"/>
        </w:rPr>
        <w:t xml:space="preserve">Variazione assoluta: </w:t>
      </w:r>
      <w:r w:rsidRPr="000C4223">
        <w:rPr>
          <w:rFonts w:ascii="Arial" w:hAnsi="Arial" w:cs="Arial"/>
          <w:bCs/>
          <w:noProof/>
          <w:sz w:val="20"/>
          <w:szCs w:val="20"/>
        </w:rPr>
        <w:t>differenza fra l’ammontare di un fenomeno alla fine del periodo considerato e quello all’inizio.</w:t>
      </w:r>
    </w:p>
    <w:p w14:paraId="3FA86D37" w14:textId="77777777" w:rsidR="00490A29" w:rsidRPr="000C4223" w:rsidRDefault="00490A29" w:rsidP="001C4485">
      <w:pPr>
        <w:spacing w:after="120"/>
        <w:jc w:val="both"/>
        <w:outlineLvl w:val="2"/>
        <w:rPr>
          <w:rFonts w:ascii="Arial" w:hAnsi="Arial" w:cs="Arial"/>
          <w:bCs/>
          <w:noProof/>
          <w:sz w:val="20"/>
          <w:szCs w:val="20"/>
        </w:rPr>
      </w:pPr>
      <w:r w:rsidRPr="00490A29">
        <w:rPr>
          <w:rFonts w:ascii="Arial" w:hAnsi="Arial" w:cs="Arial"/>
          <w:b/>
          <w:bCs/>
          <w:noProof/>
          <w:color w:val="1F497D"/>
          <w:sz w:val="20"/>
          <w:szCs w:val="20"/>
        </w:rPr>
        <w:t xml:space="preserve">Variazione percentuale media annua (o tasso medio annuo di variazione): </w:t>
      </w:r>
      <w:r w:rsidRPr="000C4223">
        <w:rPr>
          <w:rFonts w:ascii="Arial" w:hAnsi="Arial" w:cs="Arial"/>
          <w:bCs/>
          <w:noProof/>
          <w:sz w:val="20"/>
          <w:szCs w:val="20"/>
        </w:rPr>
        <w:t>si ottiene dividendo la variazione percentuale, riferita ad un intervallo temporale pluriennale, per il numero di anni dell’intervallo.</w:t>
      </w:r>
    </w:p>
    <w:p w14:paraId="55FE6C9D" w14:textId="4348E66F" w:rsidR="008E5E16" w:rsidRPr="00562900" w:rsidRDefault="00490A29" w:rsidP="001C4485">
      <w:pPr>
        <w:spacing w:after="120"/>
        <w:jc w:val="both"/>
        <w:outlineLvl w:val="2"/>
        <w:rPr>
          <w:rFonts w:ascii="Arial" w:hAnsi="Arial" w:cs="Arial"/>
          <w:bCs/>
          <w:noProof/>
          <w:sz w:val="20"/>
          <w:szCs w:val="20"/>
        </w:rPr>
      </w:pPr>
      <w:r w:rsidRPr="00490A29">
        <w:rPr>
          <w:rFonts w:ascii="Arial" w:hAnsi="Arial" w:cs="Arial"/>
          <w:b/>
          <w:bCs/>
          <w:noProof/>
          <w:color w:val="1F497D"/>
          <w:sz w:val="20"/>
          <w:szCs w:val="20"/>
        </w:rPr>
        <w:t xml:space="preserve">Variazione percentuale: </w:t>
      </w:r>
      <w:r w:rsidRPr="000C4223">
        <w:rPr>
          <w:rFonts w:ascii="Arial" w:hAnsi="Arial" w:cs="Arial"/>
          <w:bCs/>
          <w:noProof/>
          <w:sz w:val="20"/>
          <w:szCs w:val="20"/>
        </w:rPr>
        <w:t>rapporto tra la variazione assoluta e l’ammontare iniziale. Viene poi moltiplicato per 100.</w:t>
      </w:r>
    </w:p>
    <w:p w14:paraId="0E7A8B9F" w14:textId="77777777" w:rsidR="009A78E7" w:rsidRPr="000810FD" w:rsidRDefault="009A78E7" w:rsidP="001C4485">
      <w:pPr>
        <w:pStyle w:val="Titolo3"/>
        <w:spacing w:before="0" w:beforeAutospacing="0" w:after="120" w:afterAutospacing="0"/>
        <w:rPr>
          <w:rFonts w:ascii="Georgia" w:hAnsi="Georgia" w:cs="Arial"/>
          <w:b w:val="0"/>
          <w:color w:val="1F497D" w:themeColor="text2"/>
          <w:sz w:val="36"/>
          <w:szCs w:val="36"/>
        </w:rPr>
      </w:pPr>
    </w:p>
    <w:p w14:paraId="00B0835E" w14:textId="77777777" w:rsidR="00CC689B" w:rsidRDefault="00CC689B" w:rsidP="001C4485">
      <w:pPr>
        <w:pStyle w:val="Titolo3"/>
        <w:spacing w:before="0" w:beforeAutospacing="0" w:after="120" w:afterAutospacing="0"/>
        <w:rPr>
          <w:rFonts w:ascii="Georgia" w:hAnsi="Georgia" w:cs="Arial"/>
          <w:b w:val="0"/>
          <w:color w:val="1F497D" w:themeColor="text2"/>
          <w:sz w:val="48"/>
          <w:szCs w:val="48"/>
        </w:rPr>
      </w:pPr>
      <w:r>
        <w:rPr>
          <w:rFonts w:ascii="Georgia" w:hAnsi="Georgia" w:cs="Arial"/>
          <w:b w:val="0"/>
          <w:color w:val="1F497D" w:themeColor="text2"/>
          <w:sz w:val="48"/>
          <w:szCs w:val="48"/>
        </w:rPr>
        <w:t>Nota metodologica</w:t>
      </w:r>
    </w:p>
    <w:p w14:paraId="0EAC5E3B" w14:textId="77777777" w:rsidR="00CC689B" w:rsidRPr="000810FD" w:rsidRDefault="00CC689B" w:rsidP="001C4485">
      <w:pPr>
        <w:spacing w:after="120"/>
        <w:jc w:val="both"/>
        <w:rPr>
          <w:rFonts w:ascii="Arial" w:hAnsi="Arial" w:cs="Arial"/>
          <w:b/>
          <w:bCs/>
          <w:color w:val="1F497D" w:themeColor="text2"/>
        </w:rPr>
      </w:pPr>
      <w:r w:rsidRPr="000810FD">
        <w:rPr>
          <w:rFonts w:ascii="Arial" w:hAnsi="Arial" w:cs="Arial"/>
          <w:b/>
          <w:bCs/>
          <w:color w:val="1F497D" w:themeColor="text2"/>
        </w:rPr>
        <w:t>La rilevazione dei matrimoni</w:t>
      </w:r>
    </w:p>
    <w:p w14:paraId="05A7AFF1" w14:textId="77777777" w:rsidR="00CC689B" w:rsidRPr="00574FC2" w:rsidRDefault="00CC689B" w:rsidP="001C4485">
      <w:pPr>
        <w:spacing w:after="120"/>
        <w:jc w:val="both"/>
        <w:rPr>
          <w:rFonts w:ascii="Arial" w:hAnsi="Arial" w:cs="Arial"/>
          <w:b/>
          <w:bCs/>
          <w:color w:val="1F497D" w:themeColor="text2"/>
          <w:sz w:val="22"/>
          <w:szCs w:val="22"/>
        </w:rPr>
      </w:pPr>
      <w:r w:rsidRPr="00574FC2">
        <w:rPr>
          <w:rFonts w:ascii="Arial" w:hAnsi="Arial" w:cs="Arial"/>
          <w:b/>
          <w:bCs/>
          <w:color w:val="1F497D" w:themeColor="text2"/>
          <w:sz w:val="22"/>
          <w:szCs w:val="22"/>
        </w:rPr>
        <w:t>Obiettivi conoscitivi e quadro di riferimento</w:t>
      </w:r>
    </w:p>
    <w:p w14:paraId="0D155981" w14:textId="77777777" w:rsidR="00CC689B" w:rsidRDefault="00CC689B" w:rsidP="001C4485">
      <w:pPr>
        <w:spacing w:after="120"/>
        <w:jc w:val="both"/>
        <w:rPr>
          <w:rFonts w:ascii="Arial" w:hAnsi="Arial" w:cs="Arial"/>
          <w:bCs/>
          <w:sz w:val="20"/>
          <w:szCs w:val="20"/>
        </w:rPr>
      </w:pPr>
      <w:r>
        <w:rPr>
          <w:rFonts w:ascii="Arial" w:hAnsi="Arial" w:cs="Arial"/>
          <w:bCs/>
          <w:sz w:val="20"/>
          <w:szCs w:val="20"/>
        </w:rPr>
        <w:t xml:space="preserve">La rilevazione sui matrimoni di fonte Stato Civile è stata istituita dall'Istat nel 1926. L'indagine, individuale ed esaustiva, ha per oggetto tutti i matrimoni della popolazione presente e consente di analizzare il fenomeno della nuzialità, per ordine di matrimonio, in relazione alle principali caratteristiche socio-demografiche degli sposi. </w:t>
      </w:r>
    </w:p>
    <w:p w14:paraId="07175464" w14:textId="77777777" w:rsidR="00CC689B" w:rsidRDefault="00CC689B" w:rsidP="001C4485">
      <w:pPr>
        <w:spacing w:after="120"/>
        <w:jc w:val="both"/>
        <w:rPr>
          <w:rFonts w:ascii="Arial" w:hAnsi="Arial" w:cs="Arial"/>
          <w:bCs/>
          <w:sz w:val="20"/>
          <w:szCs w:val="20"/>
        </w:rPr>
      </w:pPr>
      <w:r>
        <w:rPr>
          <w:rFonts w:ascii="Arial" w:hAnsi="Arial" w:cs="Arial"/>
          <w:bCs/>
          <w:sz w:val="20"/>
          <w:szCs w:val="20"/>
        </w:rPr>
        <w:t>La rilevazione ha per oggetto tutti i matrimoni religiosi concordatari e i matrimoni civili celebrati in Italia. I dati sui matrimoni sono raccolti dall’Istat al momento della formazione dell’Atto di matrimonio, secondo quanto disposto dal Regolamento di Stato Civile. L’Istat rileva sia mensilmente il totale dei matrimoni distinti in religiosi e civili celebrati in ciascun Comune, sia i dati individuali sul matrimonio e sugli sposi relativi a ogni singolo evento.</w:t>
      </w:r>
    </w:p>
    <w:p w14:paraId="250D23BC" w14:textId="77777777" w:rsidR="00CC689B" w:rsidRDefault="00CC689B" w:rsidP="001C4485">
      <w:pPr>
        <w:spacing w:after="120"/>
        <w:jc w:val="both"/>
        <w:rPr>
          <w:rFonts w:ascii="Arial" w:hAnsi="Arial" w:cs="Arial"/>
          <w:bCs/>
          <w:sz w:val="20"/>
          <w:szCs w:val="20"/>
        </w:rPr>
      </w:pPr>
      <w:r>
        <w:rPr>
          <w:rFonts w:ascii="Arial" w:hAnsi="Arial" w:cs="Arial"/>
          <w:bCs/>
          <w:sz w:val="20"/>
          <w:szCs w:val="20"/>
        </w:rPr>
        <w:t>Tra i principali indicatori prodotti, particolare rilievo hanno le misure sintetiche di intensità e cadenza della primo-nuzialità, che consentono di analizzare l’evoluzione e la geografia dei comportamenti degli uomini e delle donne rispetto alla formazione delle unioni coniugali.</w:t>
      </w:r>
    </w:p>
    <w:p w14:paraId="0420A341" w14:textId="60997B63" w:rsidR="00CC689B" w:rsidRDefault="00CC689B" w:rsidP="001C4485">
      <w:pPr>
        <w:tabs>
          <w:tab w:val="left" w:pos="7826"/>
        </w:tabs>
        <w:spacing w:after="120"/>
        <w:jc w:val="both"/>
        <w:rPr>
          <w:rFonts w:ascii="Arial" w:hAnsi="Arial" w:cs="Arial"/>
          <w:bCs/>
          <w:sz w:val="20"/>
          <w:szCs w:val="20"/>
        </w:rPr>
      </w:pPr>
      <w:r>
        <w:rPr>
          <w:rFonts w:ascii="Arial" w:hAnsi="Arial" w:cs="Arial"/>
          <w:bCs/>
          <w:sz w:val="20"/>
          <w:szCs w:val="20"/>
        </w:rPr>
        <w:t>La rilevazione è inserita nel Programma Statistico Nazionale (codice IST-00119).</w:t>
      </w:r>
    </w:p>
    <w:p w14:paraId="73239611" w14:textId="77777777" w:rsidR="00CC689B" w:rsidRDefault="00CC689B" w:rsidP="001C4485">
      <w:pPr>
        <w:spacing w:after="120"/>
        <w:jc w:val="both"/>
        <w:rPr>
          <w:rFonts w:ascii="Arial" w:hAnsi="Arial" w:cs="Arial"/>
          <w:bCs/>
          <w:sz w:val="20"/>
          <w:szCs w:val="20"/>
        </w:rPr>
      </w:pPr>
      <w:r>
        <w:rPr>
          <w:rFonts w:ascii="Arial" w:hAnsi="Arial" w:cs="Arial"/>
          <w:bCs/>
          <w:sz w:val="20"/>
          <w:szCs w:val="20"/>
        </w:rPr>
        <w:t xml:space="preserve">La rilevazione dei dati si basa sul modello Istat D.3 compilato dall’Ufficiale di Stato Civile, o da suo delegato, del Comune nel quale il matrimonio è stato celebrato (secondo quanto previsto dal regolamento dello Stato Civile contenuto nel D.P.R. 3 novembre 2000, n. 396). </w:t>
      </w:r>
    </w:p>
    <w:p w14:paraId="3740FB22" w14:textId="77777777" w:rsidR="00CC689B" w:rsidRDefault="00CC689B" w:rsidP="001C4485">
      <w:pPr>
        <w:spacing w:after="120"/>
        <w:jc w:val="both"/>
        <w:rPr>
          <w:rFonts w:ascii="Arial" w:hAnsi="Arial" w:cs="Arial"/>
          <w:bCs/>
          <w:sz w:val="20"/>
          <w:szCs w:val="20"/>
        </w:rPr>
      </w:pPr>
      <w:r>
        <w:rPr>
          <w:rFonts w:ascii="Arial" w:hAnsi="Arial" w:cs="Arial"/>
          <w:bCs/>
          <w:sz w:val="20"/>
          <w:szCs w:val="20"/>
        </w:rPr>
        <w:t>Il modello è diviso in due parti: notizie sul matrimonio e notizie sugli sposi. Per ciascun evento, nella sezione dedicata al matrimonio si rilevano: la data, il rito di celebrazione (religioso o civile), il comune di celebrazione e il regime patrimoniale scelto dagli sposi (comunione o separazione dei beni). Le notizie rilevate per ciascun sposo riguardano: la data di nascita, il Comune di nascita, il Comune di residenza al momento del matrimonio, il luogo di residenza futura degli sposi (Comune o stato estero), lo stato civile precedente, il grado di istruzione, la condizione professionale, la posizione nella professione, il ramo di attività economica, la cittadinanza. Le modifiche più recenti al modello sono state effettuate nel 1995, con l’inserimento della variabile sul regime patrimoniale e nel 1997 con il perfezionamento dell’informazione sulla cittadinanza, chiedendo di specificare, quando italiana, se “per nascita” o “acquisita”.</w:t>
      </w:r>
    </w:p>
    <w:p w14:paraId="52EF0744" w14:textId="02A436E0" w:rsidR="00CC689B" w:rsidRDefault="00CC689B" w:rsidP="001C4485">
      <w:pPr>
        <w:spacing w:after="120"/>
        <w:jc w:val="both"/>
        <w:rPr>
          <w:rFonts w:ascii="Arial" w:hAnsi="Arial" w:cs="Arial"/>
          <w:bCs/>
          <w:sz w:val="20"/>
          <w:szCs w:val="20"/>
        </w:rPr>
      </w:pPr>
      <w:r>
        <w:rPr>
          <w:rFonts w:ascii="Arial" w:hAnsi="Arial" w:cs="Arial"/>
          <w:bCs/>
          <w:sz w:val="20"/>
          <w:szCs w:val="20"/>
        </w:rPr>
        <w:t xml:space="preserve">Le principali informazioni statistiche vengono rilasciate con sempre maggiore tempestività rispetto alla data di riferimento degli eventi. A tale scopo vengono, inoltre, elaborate le informazioni contenute nel modello D.7.A. (Rilevazione degli eventi demografici di Stato Civile) che forniscono, mensilmente e per comune di evento, il numero di matrimoni religiosi e civili (dati provvisori, soggetti a rettifica nel momento in cui si rendono disponibili i dati delle rilevazioni individuali). </w:t>
      </w:r>
    </w:p>
    <w:p w14:paraId="2C7AAB2E" w14:textId="77777777" w:rsidR="00CC689B" w:rsidRDefault="00CC689B"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Processo e metodologie</w:t>
      </w:r>
    </w:p>
    <w:p w14:paraId="7905C366" w14:textId="77777777" w:rsidR="00CC689B" w:rsidRDefault="00CC689B" w:rsidP="001C4485">
      <w:pPr>
        <w:spacing w:after="120"/>
        <w:jc w:val="both"/>
        <w:rPr>
          <w:rFonts w:ascii="Arial" w:hAnsi="Arial" w:cs="Arial"/>
          <w:bCs/>
          <w:sz w:val="20"/>
          <w:szCs w:val="20"/>
        </w:rPr>
      </w:pPr>
      <w:r>
        <w:rPr>
          <w:rFonts w:ascii="Arial" w:hAnsi="Arial" w:cs="Arial"/>
          <w:bCs/>
          <w:sz w:val="20"/>
          <w:szCs w:val="20"/>
        </w:rPr>
        <w:t>Si tratta di una rilevazione a carattere continuo anche se, ai fini di razionalizzare i flussi, la raccolta dei dati viene cadenzata mensilmente e i dati analizzati, rilasciati e diffusi annualmente.</w:t>
      </w:r>
    </w:p>
    <w:p w14:paraId="6D260907" w14:textId="0A0105F4" w:rsidR="00CC689B" w:rsidRDefault="00CC689B" w:rsidP="001C4485">
      <w:pPr>
        <w:spacing w:after="120"/>
        <w:jc w:val="both"/>
        <w:rPr>
          <w:rFonts w:ascii="Arial" w:hAnsi="Arial" w:cs="Arial"/>
          <w:bCs/>
          <w:sz w:val="20"/>
          <w:szCs w:val="20"/>
        </w:rPr>
      </w:pPr>
      <w:r>
        <w:rPr>
          <w:rFonts w:ascii="Arial" w:hAnsi="Arial" w:cs="Arial"/>
          <w:bCs/>
          <w:sz w:val="20"/>
          <w:szCs w:val="20"/>
        </w:rPr>
        <w:t xml:space="preserve">L’assetto delle attuali rilevazioni sui matrimoni (riepilogativa mensile e individuale continua) si è solo parzialmente trasformato rispetto al passato; </w:t>
      </w:r>
      <w:r w:rsidR="005E6EFE">
        <w:rPr>
          <w:rFonts w:ascii="Arial" w:hAnsi="Arial" w:cs="Arial"/>
          <w:bCs/>
          <w:sz w:val="20"/>
          <w:szCs w:val="20"/>
        </w:rPr>
        <w:t>i</w:t>
      </w:r>
      <w:r>
        <w:rPr>
          <w:rFonts w:ascii="Arial" w:hAnsi="Arial" w:cs="Arial"/>
          <w:bCs/>
          <w:sz w:val="20"/>
          <w:szCs w:val="20"/>
        </w:rPr>
        <w:t xml:space="preserve"> contenuti si sono ampliati e le modalità di trasmissione sono mutate. </w:t>
      </w:r>
    </w:p>
    <w:p w14:paraId="67353DD0" w14:textId="44C6013D" w:rsidR="00CC689B" w:rsidRDefault="00CC689B" w:rsidP="001C4485">
      <w:pPr>
        <w:spacing w:after="120"/>
        <w:jc w:val="both"/>
        <w:rPr>
          <w:rFonts w:ascii="Arial" w:hAnsi="Arial" w:cs="Arial"/>
          <w:bCs/>
          <w:sz w:val="20"/>
          <w:szCs w:val="20"/>
        </w:rPr>
      </w:pPr>
      <w:r>
        <w:rPr>
          <w:rFonts w:ascii="Arial" w:hAnsi="Arial" w:cs="Arial"/>
          <w:bCs/>
          <w:sz w:val="20"/>
          <w:szCs w:val="20"/>
        </w:rPr>
        <w:t>A partire dall’anno di rilevazione 2018, la compilazione, acquisizione e trasmissione dei modelli avviene esclusivamente per via telema</w:t>
      </w:r>
      <w:r w:rsidR="006B0836">
        <w:rPr>
          <w:rFonts w:ascii="Arial" w:hAnsi="Arial" w:cs="Arial"/>
          <w:bCs/>
          <w:sz w:val="20"/>
          <w:szCs w:val="20"/>
        </w:rPr>
        <w:t xml:space="preserve">tica a cura degli Ufficiali di </w:t>
      </w:r>
      <w:r w:rsidR="005C35E9">
        <w:rPr>
          <w:rFonts w:ascii="Arial" w:hAnsi="Arial" w:cs="Arial"/>
          <w:bCs/>
          <w:sz w:val="20"/>
          <w:szCs w:val="20"/>
        </w:rPr>
        <w:t>S</w:t>
      </w:r>
      <w:r>
        <w:rPr>
          <w:rFonts w:ascii="Arial" w:hAnsi="Arial" w:cs="Arial"/>
          <w:bCs/>
          <w:sz w:val="20"/>
          <w:szCs w:val="20"/>
        </w:rPr>
        <w:t xml:space="preserve">tato </w:t>
      </w:r>
      <w:r w:rsidR="005C35E9">
        <w:rPr>
          <w:rFonts w:ascii="Arial" w:hAnsi="Arial" w:cs="Arial"/>
          <w:bCs/>
          <w:sz w:val="20"/>
          <w:szCs w:val="20"/>
        </w:rPr>
        <w:t>C</w:t>
      </w:r>
      <w:r>
        <w:rPr>
          <w:rFonts w:ascii="Arial" w:hAnsi="Arial" w:cs="Arial"/>
          <w:bCs/>
          <w:sz w:val="20"/>
          <w:szCs w:val="20"/>
        </w:rPr>
        <w:t>ivile, attraverso un’utenza personalizzata collegandosi alla piattaforma creata ad hoc dall’Istat per le “Indagini demografiche di Stato Civile” e disponibile al link:</w:t>
      </w:r>
      <w:r w:rsidR="005C35E9">
        <w:rPr>
          <w:rFonts w:ascii="Arial" w:hAnsi="Arial" w:cs="Arial"/>
          <w:bCs/>
          <w:sz w:val="20"/>
          <w:szCs w:val="20"/>
        </w:rPr>
        <w:t xml:space="preserve"> </w:t>
      </w:r>
      <w:hyperlink r:id="rId26" w:history="1">
        <w:r>
          <w:rPr>
            <w:rStyle w:val="Collegamentoipertestuale"/>
            <w:rFonts w:ascii="Arial" w:hAnsi="Arial" w:cs="Arial"/>
            <w:bCs/>
            <w:sz w:val="20"/>
            <w:szCs w:val="20"/>
          </w:rPr>
          <w:t>https://gino.istat.it/statocivile/</w:t>
        </w:r>
      </w:hyperlink>
      <w:r>
        <w:rPr>
          <w:rFonts w:ascii="Arial" w:hAnsi="Arial" w:cs="Arial"/>
          <w:bCs/>
          <w:sz w:val="20"/>
          <w:szCs w:val="20"/>
        </w:rPr>
        <w:t xml:space="preserve">; precedentemente i dati venivano trasmessi tramite il sistema di raccolta telematica dei dati demografici ISI-Istatel, predisposto dall’Istat in collaborazione con </w:t>
      </w:r>
      <w:r>
        <w:rPr>
          <w:rFonts w:ascii="Arial" w:hAnsi="Arial" w:cs="Arial"/>
          <w:sz w:val="20"/>
          <w:szCs w:val="20"/>
        </w:rPr>
        <w:t>ANCI-Ancitel</w:t>
      </w:r>
      <w:r>
        <w:rPr>
          <w:rFonts w:ascii="Arial" w:hAnsi="Arial" w:cs="Arial"/>
          <w:bCs/>
          <w:sz w:val="20"/>
          <w:szCs w:val="20"/>
        </w:rPr>
        <w:t xml:space="preserve">. </w:t>
      </w:r>
    </w:p>
    <w:p w14:paraId="0091408A" w14:textId="77777777" w:rsidR="00CC689B" w:rsidRDefault="00CC689B" w:rsidP="001C4485">
      <w:pPr>
        <w:spacing w:after="120"/>
        <w:jc w:val="both"/>
        <w:rPr>
          <w:rFonts w:ascii="Arial" w:hAnsi="Arial" w:cs="Arial"/>
          <w:bCs/>
          <w:sz w:val="20"/>
          <w:szCs w:val="20"/>
        </w:rPr>
      </w:pPr>
      <w:r>
        <w:rPr>
          <w:rFonts w:ascii="Arial" w:hAnsi="Arial" w:cs="Arial"/>
          <w:bCs/>
          <w:sz w:val="20"/>
          <w:szCs w:val="20"/>
        </w:rPr>
        <w:t>Il controllo della copertura dei dati avviene considerando sia la rilevazione riepilogativa mensile sia la serie storica degli eventi per ciascun Comune. La correzione delle mancate risposte totali e parziali avviene con metodi misti: deterministici nel caso di errori sistematici e probabilistici nel caso di errori stocastici.</w:t>
      </w:r>
    </w:p>
    <w:p w14:paraId="3A2618E8" w14:textId="0D9A8EE8" w:rsidR="00E32DF1" w:rsidRDefault="00CC689B" w:rsidP="001C4485">
      <w:pPr>
        <w:spacing w:after="120"/>
        <w:jc w:val="both"/>
        <w:rPr>
          <w:rFonts w:ascii="Arial" w:hAnsi="Arial" w:cs="Arial"/>
          <w:bCs/>
          <w:sz w:val="20"/>
          <w:szCs w:val="20"/>
        </w:rPr>
      </w:pPr>
      <w:r>
        <w:rPr>
          <w:rFonts w:ascii="Arial" w:hAnsi="Arial" w:cs="Arial"/>
          <w:bCs/>
          <w:sz w:val="20"/>
          <w:szCs w:val="20"/>
        </w:rPr>
        <w:t xml:space="preserve">In occasione del rilascio dei dati 2018 </w:t>
      </w:r>
      <w:r w:rsidR="005E6EFE">
        <w:rPr>
          <w:rFonts w:ascii="Arial" w:hAnsi="Arial" w:cs="Arial"/>
          <w:bCs/>
          <w:sz w:val="20"/>
          <w:szCs w:val="20"/>
        </w:rPr>
        <w:t>è stata</w:t>
      </w:r>
      <w:r>
        <w:rPr>
          <w:rFonts w:ascii="Arial" w:hAnsi="Arial" w:cs="Arial"/>
          <w:bCs/>
          <w:sz w:val="20"/>
          <w:szCs w:val="20"/>
        </w:rPr>
        <w:t xml:space="preserve"> diffusa la nuova serie ricostruita dei dati relativi ai matrimoni con almeno uno sposo straniero dal 2013. Grazie, infatti, all’acquisizione dei dati tramite la nuova piattaforma è notevolmente migliorata la qualità dei dati acquisiti a livello </w:t>
      </w:r>
      <w:r w:rsidR="005E6EFE">
        <w:rPr>
          <w:rFonts w:ascii="Arial" w:hAnsi="Arial" w:cs="Arial"/>
          <w:bCs/>
          <w:sz w:val="20"/>
          <w:szCs w:val="20"/>
        </w:rPr>
        <w:t xml:space="preserve">sia </w:t>
      </w:r>
      <w:r>
        <w:rPr>
          <w:rFonts w:ascii="Arial" w:hAnsi="Arial" w:cs="Arial"/>
          <w:bCs/>
          <w:sz w:val="20"/>
          <w:szCs w:val="20"/>
        </w:rPr>
        <w:t xml:space="preserve">di coerenza interna sia di completezza. </w:t>
      </w:r>
    </w:p>
    <w:p w14:paraId="0B9A1725" w14:textId="7CE1C3E6" w:rsidR="00CC689B" w:rsidRDefault="00CC689B"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Classificazioni e fonti complementari</w:t>
      </w:r>
    </w:p>
    <w:p w14:paraId="24E0494B"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Nella rilevazione vengono utilizzate principalmente due classificazioni Istat:</w:t>
      </w:r>
    </w:p>
    <w:p w14:paraId="4B68920B"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 xml:space="preserve">La classificazione dei codici comunali (codici Istat a 6 cifre con codice provincia e codice comune): </w:t>
      </w:r>
      <w:hyperlink r:id="rId27" w:history="1">
        <w:r w:rsidRPr="00E22D54">
          <w:rPr>
            <w:rStyle w:val="Collegamentoipertestuale"/>
            <w:rFonts w:ascii="Arial" w:hAnsi="Arial" w:cs="Arial"/>
            <w:bCs/>
            <w:sz w:val="20"/>
            <w:szCs w:val="20"/>
          </w:rPr>
          <w:t>https://www.istat.it/it/archivio/6789</w:t>
        </w:r>
      </w:hyperlink>
    </w:p>
    <w:p w14:paraId="05B79AFF"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lastRenderedPageBreak/>
        <w:t xml:space="preserve">La classificazione degli Stati esteri (codici Istat e 3 cifre) per la codifica univoca delle cittadinanze straniere: </w:t>
      </w:r>
      <w:hyperlink r:id="rId28" w:history="1">
        <w:r w:rsidRPr="00E22D54">
          <w:rPr>
            <w:rStyle w:val="Collegamentoipertestuale"/>
            <w:rFonts w:ascii="Arial" w:hAnsi="Arial" w:cs="Arial"/>
            <w:bCs/>
            <w:sz w:val="20"/>
            <w:szCs w:val="20"/>
          </w:rPr>
          <w:t>https://www.istat.it/it/archivio/6747</w:t>
        </w:r>
      </w:hyperlink>
    </w:p>
    <w:p w14:paraId="6FC1EACC"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 xml:space="preserve">Viene effettuato un costante monitoraggio con i dati contenuti nel modello D.7.A. (Rilevazione degli eventi demografici di Stato Civile) che forniscono, mensilmente e per comune di evento, il numero di unioni civili. </w:t>
      </w:r>
    </w:p>
    <w:p w14:paraId="7D597CDB"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“Censimento permanente della popolazione”. Anni 2018, 2019 e 2020.</w:t>
      </w:r>
    </w:p>
    <w:p w14:paraId="6D17DB5C" w14:textId="77777777" w:rsidR="00FA106C" w:rsidRPr="00D63FDD" w:rsidRDefault="00FA106C" w:rsidP="001C4485">
      <w:pPr>
        <w:spacing w:after="120"/>
        <w:jc w:val="both"/>
        <w:rPr>
          <w:rFonts w:ascii="Arial" w:hAnsi="Arial" w:cs="Arial"/>
          <w:bCs/>
          <w:sz w:val="20"/>
          <w:szCs w:val="20"/>
        </w:rPr>
      </w:pPr>
      <w:r w:rsidRPr="00E22D54">
        <w:rPr>
          <w:rFonts w:ascii="Arial" w:hAnsi="Arial" w:cs="Arial"/>
          <w:bCs/>
          <w:sz w:val="20"/>
          <w:szCs w:val="20"/>
        </w:rPr>
        <w:t>“Ricostruzione della popolazione residente per età al 1° gennaio”. Anni 2002-2019</w:t>
      </w:r>
      <w:r w:rsidRPr="00E22D54">
        <w:rPr>
          <w:rFonts w:ascii="Arial" w:hAnsi="Arial" w:cs="Arial"/>
          <w:bCs/>
          <w:sz w:val="20"/>
          <w:szCs w:val="20"/>
        </w:rPr>
        <w:br/>
        <w:t>Ricostruzione del bilancio demografico, anni 2002-2018.</w:t>
      </w:r>
    </w:p>
    <w:p w14:paraId="17B8F1FD" w14:textId="77777777" w:rsidR="00CC689B" w:rsidRDefault="00CC689B"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Diffusione</w:t>
      </w:r>
    </w:p>
    <w:p w14:paraId="61431955" w14:textId="77777777" w:rsidR="008D6D52" w:rsidRDefault="008D6D52" w:rsidP="001C4485">
      <w:pPr>
        <w:spacing w:after="120"/>
        <w:jc w:val="both"/>
        <w:rPr>
          <w:rFonts w:ascii="Arial" w:hAnsi="Arial" w:cs="Arial"/>
          <w:bCs/>
          <w:sz w:val="20"/>
          <w:szCs w:val="20"/>
        </w:rPr>
      </w:pPr>
      <w:r>
        <w:rPr>
          <w:rFonts w:ascii="Arial" w:hAnsi="Arial" w:cs="Arial"/>
          <w:bCs/>
          <w:sz w:val="20"/>
          <w:szCs w:val="20"/>
        </w:rPr>
        <w:t xml:space="preserve">I principali risultati sono disponibili on line consultando il datawarehouse I.Stat all’indirizzo http://dati.istat.it/ e il sistema tematico Demo, all’indirizzo </w:t>
      </w:r>
      <w:hyperlink r:id="rId29" w:history="1">
        <w:r>
          <w:rPr>
            <w:rStyle w:val="Collegamentoipertestuale"/>
            <w:rFonts w:ascii="Arial" w:hAnsi="Arial" w:cs="Arial"/>
            <w:bCs/>
            <w:sz w:val="20"/>
            <w:szCs w:val="20"/>
          </w:rPr>
          <w:t>http://demo.istat.it/altridati/matrimoni/</w:t>
        </w:r>
      </w:hyperlink>
      <w:r>
        <w:rPr>
          <w:rFonts w:ascii="Arial" w:hAnsi="Arial" w:cs="Arial"/>
          <w:bCs/>
          <w:sz w:val="20"/>
          <w:szCs w:val="20"/>
        </w:rPr>
        <w:t>.</w:t>
      </w:r>
    </w:p>
    <w:p w14:paraId="7AB7F512" w14:textId="77777777" w:rsidR="00CC689B" w:rsidRDefault="00CC689B" w:rsidP="001C4485">
      <w:pPr>
        <w:spacing w:after="120"/>
        <w:jc w:val="both"/>
        <w:rPr>
          <w:rFonts w:ascii="Arial" w:hAnsi="Arial" w:cs="Arial"/>
          <w:bCs/>
          <w:sz w:val="20"/>
          <w:szCs w:val="20"/>
        </w:rPr>
      </w:pPr>
      <w:r>
        <w:rPr>
          <w:rFonts w:ascii="Arial" w:hAnsi="Arial" w:cs="Arial"/>
          <w:bCs/>
          <w:sz w:val="20"/>
          <w:szCs w:val="20"/>
        </w:rPr>
        <w:t xml:space="preserve">Dati riepilogativi annuali sono inoltre diffusi (a livello regionale) nell'Annuario statistico italiano e Noi Italia. </w:t>
      </w:r>
    </w:p>
    <w:p w14:paraId="0AF28245" w14:textId="77777777" w:rsidR="00CC689B" w:rsidRDefault="00CC689B"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Riferimenti normativi</w:t>
      </w:r>
    </w:p>
    <w:p w14:paraId="60860C59" w14:textId="0F9C2BC2" w:rsidR="00FC445C" w:rsidRPr="00FC445C" w:rsidRDefault="00FC445C" w:rsidP="001C4485">
      <w:pPr>
        <w:spacing w:after="120"/>
        <w:jc w:val="both"/>
        <w:rPr>
          <w:rFonts w:ascii="Arial" w:hAnsi="Arial" w:cs="Arial"/>
          <w:sz w:val="20"/>
          <w:szCs w:val="20"/>
        </w:rPr>
      </w:pPr>
      <w:r>
        <w:rPr>
          <w:rFonts w:ascii="Arial" w:hAnsi="Arial" w:cs="Arial"/>
          <w:sz w:val="20"/>
          <w:szCs w:val="20"/>
        </w:rPr>
        <w:t xml:space="preserve">Il matrimonio concordatario, ovvero il matrimonio contratto con rito religioso trascritto nei </w:t>
      </w:r>
      <w:r w:rsidR="005C35E9">
        <w:rPr>
          <w:rFonts w:ascii="Arial" w:hAnsi="Arial" w:cs="Arial"/>
          <w:sz w:val="20"/>
          <w:szCs w:val="20"/>
        </w:rPr>
        <w:t>R</w:t>
      </w:r>
      <w:r>
        <w:rPr>
          <w:rFonts w:ascii="Arial" w:hAnsi="Arial" w:cs="Arial"/>
          <w:sz w:val="20"/>
          <w:szCs w:val="20"/>
        </w:rPr>
        <w:t xml:space="preserve">egistri di </w:t>
      </w:r>
      <w:r w:rsidR="005C35E9">
        <w:rPr>
          <w:rFonts w:ascii="Arial" w:hAnsi="Arial" w:cs="Arial"/>
          <w:sz w:val="20"/>
          <w:szCs w:val="20"/>
        </w:rPr>
        <w:t>S</w:t>
      </w:r>
      <w:r>
        <w:rPr>
          <w:rFonts w:ascii="Arial" w:hAnsi="Arial" w:cs="Arial"/>
          <w:sz w:val="20"/>
          <w:szCs w:val="20"/>
        </w:rPr>
        <w:t xml:space="preserve">tato </w:t>
      </w:r>
      <w:r w:rsidR="005C35E9">
        <w:rPr>
          <w:rFonts w:ascii="Arial" w:hAnsi="Arial" w:cs="Arial"/>
          <w:sz w:val="20"/>
          <w:szCs w:val="20"/>
        </w:rPr>
        <w:t>C</w:t>
      </w:r>
      <w:r>
        <w:rPr>
          <w:rFonts w:ascii="Arial" w:hAnsi="Arial" w:cs="Arial"/>
          <w:sz w:val="20"/>
          <w:szCs w:val="20"/>
        </w:rPr>
        <w:t>ivile e al quale lo Stato italiano riconosce effetti civili, è regolato dalla Legge n. 121 del 25 marzo 1985 (</w:t>
      </w:r>
      <w:r w:rsidR="00A77623">
        <w:rPr>
          <w:rFonts w:ascii="Arial" w:hAnsi="Arial" w:cs="Arial"/>
          <w:sz w:val="20"/>
          <w:szCs w:val="20"/>
        </w:rPr>
        <w:t>L</w:t>
      </w:r>
      <w:r>
        <w:rPr>
          <w:rFonts w:ascii="Arial" w:hAnsi="Arial" w:cs="Arial"/>
          <w:sz w:val="20"/>
          <w:szCs w:val="20"/>
        </w:rPr>
        <w:t xml:space="preserve">egge di ratifica dell’accordo firmato a Roma il 18 febbraio 1984 tra la Repubblica italiana e la Santa </w:t>
      </w:r>
      <w:r w:rsidR="00A77623">
        <w:rPr>
          <w:rFonts w:ascii="Arial" w:hAnsi="Arial" w:cs="Arial"/>
          <w:sz w:val="20"/>
          <w:szCs w:val="20"/>
        </w:rPr>
        <w:t>S</w:t>
      </w:r>
      <w:r>
        <w:rPr>
          <w:rFonts w:ascii="Arial" w:hAnsi="Arial" w:cs="Arial"/>
          <w:sz w:val="20"/>
          <w:szCs w:val="20"/>
        </w:rPr>
        <w:t xml:space="preserve">ede, in modifica del Concordato lateranense dell’11 febbraio 1929). </w:t>
      </w:r>
    </w:p>
    <w:p w14:paraId="147C54A8" w14:textId="754773EF" w:rsidR="00CC689B" w:rsidRDefault="00CC689B" w:rsidP="001C4485">
      <w:pPr>
        <w:spacing w:after="120"/>
        <w:jc w:val="both"/>
        <w:rPr>
          <w:rFonts w:ascii="Arial" w:hAnsi="Arial" w:cs="Arial"/>
          <w:bCs/>
          <w:sz w:val="20"/>
          <w:szCs w:val="20"/>
        </w:rPr>
      </w:pPr>
      <w:r>
        <w:rPr>
          <w:rFonts w:ascii="Arial" w:hAnsi="Arial" w:cs="Arial"/>
          <w:bCs/>
          <w:sz w:val="20"/>
          <w:szCs w:val="20"/>
        </w:rPr>
        <w:t xml:space="preserve">L’art. 1 comma 15 della </w:t>
      </w:r>
      <w:r w:rsidR="009357F5">
        <w:rPr>
          <w:rFonts w:ascii="Arial" w:hAnsi="Arial" w:cs="Arial"/>
          <w:bCs/>
          <w:sz w:val="20"/>
          <w:szCs w:val="20"/>
        </w:rPr>
        <w:t>L</w:t>
      </w:r>
      <w:r>
        <w:rPr>
          <w:rFonts w:ascii="Arial" w:hAnsi="Arial" w:cs="Arial"/>
          <w:bCs/>
          <w:sz w:val="20"/>
          <w:szCs w:val="20"/>
        </w:rPr>
        <w:t xml:space="preserve">egge n. 94 di </w:t>
      </w:r>
      <w:r w:rsidR="00A77623">
        <w:rPr>
          <w:rFonts w:ascii="Arial" w:hAnsi="Arial" w:cs="Arial"/>
          <w:bCs/>
          <w:sz w:val="20"/>
          <w:szCs w:val="20"/>
        </w:rPr>
        <w:t>l</w:t>
      </w:r>
      <w:r>
        <w:rPr>
          <w:rFonts w:ascii="Arial" w:hAnsi="Arial" w:cs="Arial"/>
          <w:bCs/>
          <w:sz w:val="20"/>
          <w:szCs w:val="20"/>
        </w:rPr>
        <w:t>uglio 2009 ha modificato l’art. 116 C</w:t>
      </w:r>
      <w:r w:rsidR="00A77623">
        <w:rPr>
          <w:rFonts w:ascii="Arial" w:hAnsi="Arial" w:cs="Arial"/>
          <w:bCs/>
          <w:sz w:val="20"/>
          <w:szCs w:val="20"/>
        </w:rPr>
        <w:t>.</w:t>
      </w:r>
      <w:r>
        <w:rPr>
          <w:rFonts w:ascii="Arial" w:hAnsi="Arial" w:cs="Arial"/>
          <w:bCs/>
          <w:sz w:val="20"/>
          <w:szCs w:val="20"/>
        </w:rPr>
        <w:t xml:space="preserve">C. Scopo della riforma è quello di impedire la celebrazione di matrimoni di comodo. Questa regola si applica sia ai matrimoni misti sia a quelli con entrambi gli sposi stranieri. </w:t>
      </w:r>
    </w:p>
    <w:p w14:paraId="00C85E5E" w14:textId="14FE12CB" w:rsidR="00CC689B" w:rsidRDefault="00CC689B" w:rsidP="001C4485">
      <w:pPr>
        <w:spacing w:after="120"/>
        <w:jc w:val="both"/>
        <w:rPr>
          <w:rFonts w:ascii="Arial" w:hAnsi="Arial" w:cs="Arial"/>
          <w:bCs/>
          <w:sz w:val="20"/>
          <w:szCs w:val="20"/>
        </w:rPr>
      </w:pPr>
      <w:r>
        <w:rPr>
          <w:rFonts w:ascii="Arial" w:hAnsi="Arial" w:cs="Arial"/>
          <w:bCs/>
          <w:sz w:val="20"/>
          <w:szCs w:val="20"/>
        </w:rPr>
        <w:t xml:space="preserve">La Corte Costituzionale nel luglio 2011, con la sentenza n. 245/2011, ha ritenuto costituzionalmente illegittimo l’art. 116, comma 1, c.c., come modificato dall’art. 1, comma 15, della </w:t>
      </w:r>
      <w:r w:rsidR="009357F5">
        <w:rPr>
          <w:rFonts w:ascii="Arial" w:hAnsi="Arial" w:cs="Arial"/>
          <w:bCs/>
          <w:sz w:val="20"/>
          <w:szCs w:val="20"/>
        </w:rPr>
        <w:t>L</w:t>
      </w:r>
      <w:r>
        <w:rPr>
          <w:rFonts w:ascii="Arial" w:hAnsi="Arial" w:cs="Arial"/>
          <w:bCs/>
          <w:sz w:val="20"/>
          <w:szCs w:val="20"/>
        </w:rPr>
        <w:t>egge n. 94 del 2009, limitatamente alle parole “nonché un documento attestante la regolarità del soggiorno nel territorio italiano”, poiché il divieto generale di celebrare il matrimonio dello straniero non regolarmente soggiornante in Italia rappresenta uno strumento sproporzionato, irragionevolmente lesivo del diritto fondamentale di ogni essere umano di contrarre matrimonio.</w:t>
      </w:r>
    </w:p>
    <w:p w14:paraId="38CDDED5" w14:textId="77777777" w:rsidR="00714AFD" w:rsidRDefault="00714AFD" w:rsidP="001C4485">
      <w:pPr>
        <w:spacing w:after="120"/>
        <w:jc w:val="both"/>
        <w:rPr>
          <w:rFonts w:ascii="Arial" w:hAnsi="Arial" w:cs="Arial"/>
          <w:bCs/>
          <w:sz w:val="20"/>
          <w:szCs w:val="20"/>
        </w:rPr>
      </w:pPr>
    </w:p>
    <w:p w14:paraId="19CF85EA" w14:textId="77777777" w:rsidR="00CC689B" w:rsidRPr="000810FD" w:rsidRDefault="00CC689B" w:rsidP="001C4485">
      <w:pPr>
        <w:spacing w:after="120"/>
        <w:jc w:val="both"/>
        <w:rPr>
          <w:rFonts w:ascii="Arial" w:hAnsi="Arial" w:cs="Arial"/>
          <w:b/>
          <w:bCs/>
          <w:color w:val="1F497D" w:themeColor="text2"/>
        </w:rPr>
      </w:pPr>
      <w:r w:rsidRPr="000810FD">
        <w:rPr>
          <w:rFonts w:ascii="Arial" w:hAnsi="Arial" w:cs="Arial"/>
          <w:b/>
          <w:bCs/>
          <w:color w:val="1F497D" w:themeColor="text2"/>
        </w:rPr>
        <w:t>La rilevazione delle unioni civili</w:t>
      </w:r>
    </w:p>
    <w:p w14:paraId="49511D03" w14:textId="77777777" w:rsidR="00CC689B" w:rsidRPr="00574FC2" w:rsidRDefault="00CC689B" w:rsidP="001C4485">
      <w:pPr>
        <w:spacing w:after="120"/>
        <w:jc w:val="both"/>
        <w:rPr>
          <w:rFonts w:ascii="Arial" w:hAnsi="Arial" w:cs="Arial"/>
          <w:b/>
          <w:bCs/>
          <w:color w:val="1F497D" w:themeColor="text2"/>
          <w:sz w:val="22"/>
          <w:szCs w:val="22"/>
        </w:rPr>
      </w:pPr>
      <w:r w:rsidRPr="00574FC2">
        <w:rPr>
          <w:rFonts w:ascii="Arial" w:hAnsi="Arial" w:cs="Arial"/>
          <w:b/>
          <w:bCs/>
          <w:color w:val="1F497D" w:themeColor="text2"/>
          <w:sz w:val="22"/>
          <w:szCs w:val="22"/>
        </w:rPr>
        <w:t>Obiettivi conoscitivi e quadro di riferimento</w:t>
      </w:r>
    </w:p>
    <w:p w14:paraId="47D2EAB9" w14:textId="64097537" w:rsidR="00CC689B" w:rsidRDefault="00CC689B" w:rsidP="001C4485">
      <w:pPr>
        <w:spacing w:after="120"/>
        <w:jc w:val="both"/>
        <w:rPr>
          <w:rFonts w:ascii="Arial" w:hAnsi="Arial" w:cs="Arial"/>
          <w:bCs/>
          <w:sz w:val="20"/>
          <w:szCs w:val="20"/>
        </w:rPr>
      </w:pPr>
      <w:r>
        <w:rPr>
          <w:rFonts w:ascii="Arial" w:hAnsi="Arial" w:cs="Arial"/>
          <w:bCs/>
          <w:sz w:val="20"/>
          <w:szCs w:val="20"/>
        </w:rPr>
        <w:t xml:space="preserve">La rilevazione sulle unioni civili è stata istituita dall'Istat nel 2018. L'indagine, individuale ed esaustiva, ha per oggetto tutte le unioni civili della popolazione presente e consente di analizzare le principali caratteristiche </w:t>
      </w:r>
      <w:r w:rsidR="00E32DF1">
        <w:rPr>
          <w:rFonts w:ascii="Arial" w:hAnsi="Arial" w:cs="Arial"/>
          <w:bCs/>
          <w:sz w:val="20"/>
          <w:szCs w:val="20"/>
        </w:rPr>
        <w:t xml:space="preserve">socio-demografiche degli uniti </w:t>
      </w:r>
      <w:r w:rsidR="00E32DF1" w:rsidRPr="00E32DF1">
        <w:rPr>
          <w:rFonts w:ascii="Arial" w:hAnsi="Arial" w:cs="Arial"/>
          <w:sz w:val="20"/>
          <w:szCs w:val="20"/>
        </w:rPr>
        <w:t>e monitorare l’evoluzione del fenomeno.</w:t>
      </w:r>
    </w:p>
    <w:p w14:paraId="784F86D3" w14:textId="51379C72" w:rsidR="00CC689B" w:rsidRPr="006141F8" w:rsidRDefault="00CC689B" w:rsidP="001C4485">
      <w:pPr>
        <w:spacing w:after="120"/>
        <w:jc w:val="both"/>
        <w:rPr>
          <w:rFonts w:ascii="Arial" w:hAnsi="Arial" w:cs="Arial"/>
          <w:bCs/>
          <w:sz w:val="20"/>
          <w:szCs w:val="20"/>
        </w:rPr>
      </w:pPr>
      <w:r>
        <w:rPr>
          <w:rFonts w:ascii="Arial" w:hAnsi="Arial" w:cs="Arial"/>
          <w:bCs/>
          <w:sz w:val="20"/>
          <w:szCs w:val="20"/>
        </w:rPr>
        <w:t>La rilevazione è inserita nel Programma Statistico Nazionale (codice IST-02744) ed è stata avviata a partire dal 2018.</w:t>
      </w:r>
      <w:r w:rsidR="006141F8">
        <w:rPr>
          <w:rFonts w:ascii="Arial" w:hAnsi="Arial" w:cs="Arial"/>
          <w:bCs/>
          <w:sz w:val="20"/>
          <w:szCs w:val="20"/>
        </w:rPr>
        <w:t xml:space="preserve"> </w:t>
      </w:r>
      <w:r>
        <w:rPr>
          <w:rFonts w:ascii="Arial" w:hAnsi="Arial" w:cs="Arial"/>
          <w:sz w:val="20"/>
          <w:szCs w:val="20"/>
        </w:rPr>
        <w:t xml:space="preserve">Oggetto della rilevazione sono tutte le unioni civili costituite presso gli Uffici di Stato Civile dei vari </w:t>
      </w:r>
      <w:r w:rsidR="00DA4456">
        <w:rPr>
          <w:rFonts w:ascii="Arial" w:hAnsi="Arial" w:cs="Arial"/>
          <w:sz w:val="20"/>
          <w:szCs w:val="20"/>
        </w:rPr>
        <w:t>C</w:t>
      </w:r>
      <w:r>
        <w:rPr>
          <w:rFonts w:ascii="Arial" w:hAnsi="Arial" w:cs="Arial"/>
          <w:sz w:val="20"/>
          <w:szCs w:val="20"/>
        </w:rPr>
        <w:t xml:space="preserve">omuni italiani, mediante un apposito modello statistico (Mod. Istat D.3.U) che rileva le principali notizie sull’unione civile e sugli uniti. </w:t>
      </w:r>
      <w:r>
        <w:rPr>
          <w:rFonts w:ascii="Arial" w:hAnsi="Arial" w:cs="Arial"/>
          <w:bCs/>
          <w:sz w:val="20"/>
          <w:szCs w:val="20"/>
        </w:rPr>
        <w:t>Il modello è diviso in due parti: notizie sull’unione e notizie sugli uniti. Per ciascun evento, nella sezione dedicata all’unione si rilevano: la data, il comune di costituzione e il regime patrimoniale scelto (comunione o separazione dei beni). Le notizie rilevate per ciascun partner riguardano: la data di nascita, il Comune di nascita, il Comune di residenza al momento del matrimonio, lo stato civile precedente, il grado di istruzione, la condizione professionale, la posizione nella professione e la cittadinanza.</w:t>
      </w:r>
    </w:p>
    <w:p w14:paraId="3C80A9FC" w14:textId="77777777" w:rsidR="00CC689B" w:rsidRDefault="00CC689B"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Processo e metodologie</w:t>
      </w:r>
    </w:p>
    <w:p w14:paraId="2F05F3C7" w14:textId="77777777" w:rsidR="00CC689B" w:rsidRDefault="00CC689B" w:rsidP="001C4485">
      <w:pPr>
        <w:spacing w:after="120"/>
        <w:jc w:val="both"/>
        <w:rPr>
          <w:rFonts w:ascii="Arial" w:hAnsi="Arial" w:cs="Arial"/>
          <w:bCs/>
          <w:sz w:val="20"/>
          <w:szCs w:val="20"/>
        </w:rPr>
      </w:pPr>
      <w:r>
        <w:rPr>
          <w:rFonts w:ascii="Arial" w:hAnsi="Arial" w:cs="Arial"/>
          <w:bCs/>
          <w:sz w:val="20"/>
          <w:szCs w:val="20"/>
        </w:rPr>
        <w:t>Si tratta di una rilevazione a carattere continuo anche se, ai fini di razionalizzare i flussi, la raccolta dei dati viene cadenzata mensilmente e i dati analizzati, rilasciati e diffusi annualmente.</w:t>
      </w:r>
    </w:p>
    <w:p w14:paraId="1265DADC" w14:textId="7223B74E" w:rsidR="00CC689B" w:rsidRDefault="00CC689B" w:rsidP="001C4485">
      <w:pPr>
        <w:spacing w:after="120"/>
        <w:jc w:val="both"/>
        <w:rPr>
          <w:rFonts w:ascii="Arial" w:hAnsi="Arial" w:cs="Arial"/>
          <w:bCs/>
          <w:sz w:val="20"/>
          <w:szCs w:val="20"/>
        </w:rPr>
      </w:pPr>
      <w:r>
        <w:rPr>
          <w:rFonts w:ascii="Arial" w:hAnsi="Arial" w:cs="Arial"/>
          <w:bCs/>
          <w:sz w:val="20"/>
          <w:szCs w:val="20"/>
        </w:rPr>
        <w:t>La compilazione, acquisizione e trasmissione dei modelli avviene esclusivamente per via telematica a cura degli Ufficiali di Stato civile, attraverso un’utenza personalizzata collegandosi alla piattaforma creata ad hoc dall’Istat per le “Indagini demografiche di Stato Civile” e disponibile al link:</w:t>
      </w:r>
      <w:r w:rsidR="009357F5">
        <w:rPr>
          <w:rFonts w:ascii="Arial" w:hAnsi="Arial" w:cs="Arial"/>
          <w:bCs/>
          <w:sz w:val="20"/>
          <w:szCs w:val="20"/>
        </w:rPr>
        <w:t xml:space="preserve"> </w:t>
      </w:r>
      <w:hyperlink r:id="rId30" w:history="1">
        <w:r>
          <w:rPr>
            <w:rStyle w:val="Collegamentoipertestuale"/>
            <w:rFonts w:ascii="Arial" w:hAnsi="Arial" w:cs="Arial"/>
            <w:bCs/>
            <w:sz w:val="20"/>
            <w:szCs w:val="20"/>
          </w:rPr>
          <w:t>https://gino.istat.it/statocivile/</w:t>
        </w:r>
      </w:hyperlink>
      <w:r>
        <w:rPr>
          <w:rFonts w:ascii="Arial" w:hAnsi="Arial" w:cs="Arial"/>
          <w:bCs/>
          <w:sz w:val="20"/>
          <w:szCs w:val="20"/>
        </w:rPr>
        <w:t>.</w:t>
      </w:r>
    </w:p>
    <w:p w14:paraId="6889DAEC" w14:textId="71304DD8" w:rsidR="00CC689B" w:rsidRDefault="00CC689B" w:rsidP="001C4485">
      <w:pPr>
        <w:spacing w:after="120"/>
        <w:jc w:val="both"/>
        <w:rPr>
          <w:rFonts w:ascii="Arial" w:hAnsi="Arial" w:cs="Arial"/>
          <w:bCs/>
          <w:sz w:val="20"/>
          <w:szCs w:val="20"/>
        </w:rPr>
      </w:pPr>
      <w:r>
        <w:rPr>
          <w:rFonts w:ascii="Arial" w:hAnsi="Arial" w:cs="Arial"/>
          <w:bCs/>
          <w:sz w:val="20"/>
          <w:szCs w:val="20"/>
        </w:rPr>
        <w:t>Il controllo della copertura dei dati avviene considerando sia la rilevazione riepilogativa mensile sia la serie storica degli eventi per ciascun Comune. La correzione delle mancate risposte totali e parziali avviene con metodi misti: deterministici nel caso di errori sistematici e probabilistici nel caso di errori stocastici.</w:t>
      </w:r>
    </w:p>
    <w:p w14:paraId="288E0992" w14:textId="77777777" w:rsidR="00CC689B" w:rsidRDefault="00CC689B"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Classificazioni e fonti complementari</w:t>
      </w:r>
    </w:p>
    <w:p w14:paraId="0C084D0B" w14:textId="77777777" w:rsidR="005E43F1" w:rsidRPr="00E22D54" w:rsidRDefault="005E43F1" w:rsidP="001C4485">
      <w:pPr>
        <w:spacing w:after="120"/>
        <w:jc w:val="both"/>
        <w:rPr>
          <w:rFonts w:ascii="Arial" w:hAnsi="Arial" w:cs="Arial"/>
          <w:bCs/>
          <w:sz w:val="20"/>
          <w:szCs w:val="20"/>
        </w:rPr>
      </w:pPr>
      <w:r w:rsidRPr="00E22D54">
        <w:rPr>
          <w:rFonts w:ascii="Arial" w:hAnsi="Arial" w:cs="Arial"/>
          <w:bCs/>
          <w:sz w:val="20"/>
          <w:szCs w:val="20"/>
        </w:rPr>
        <w:t>Nella rilevazione vengono utilizzate principalmente due classificazioni Istat:</w:t>
      </w:r>
    </w:p>
    <w:p w14:paraId="358047FC" w14:textId="77777777" w:rsidR="005E43F1" w:rsidRPr="00E22D54" w:rsidRDefault="005E43F1" w:rsidP="001C4485">
      <w:pPr>
        <w:spacing w:after="120"/>
        <w:jc w:val="both"/>
        <w:rPr>
          <w:rFonts w:ascii="Arial" w:hAnsi="Arial" w:cs="Arial"/>
          <w:bCs/>
          <w:sz w:val="20"/>
          <w:szCs w:val="20"/>
        </w:rPr>
      </w:pPr>
      <w:r w:rsidRPr="00E22D54">
        <w:rPr>
          <w:rFonts w:ascii="Arial" w:hAnsi="Arial" w:cs="Arial"/>
          <w:bCs/>
          <w:sz w:val="20"/>
          <w:szCs w:val="20"/>
        </w:rPr>
        <w:t xml:space="preserve">La classificazione dei codici comunali (codici Istat a 6 cifre con codice provincia e codice comune): </w:t>
      </w:r>
      <w:hyperlink r:id="rId31" w:history="1">
        <w:r w:rsidRPr="00E22D54">
          <w:rPr>
            <w:rStyle w:val="Collegamentoipertestuale"/>
            <w:rFonts w:ascii="Arial" w:hAnsi="Arial" w:cs="Arial"/>
            <w:bCs/>
            <w:sz w:val="20"/>
            <w:szCs w:val="20"/>
          </w:rPr>
          <w:t>https://www.istat.it/it/archivio/6789</w:t>
        </w:r>
      </w:hyperlink>
    </w:p>
    <w:p w14:paraId="15564FBD" w14:textId="77777777" w:rsidR="005E43F1" w:rsidRPr="00E22D54" w:rsidRDefault="005E43F1" w:rsidP="001C4485">
      <w:pPr>
        <w:spacing w:after="120"/>
        <w:jc w:val="both"/>
        <w:rPr>
          <w:rFonts w:ascii="Arial" w:hAnsi="Arial" w:cs="Arial"/>
          <w:bCs/>
          <w:sz w:val="20"/>
          <w:szCs w:val="20"/>
        </w:rPr>
      </w:pPr>
      <w:r w:rsidRPr="00E22D54">
        <w:rPr>
          <w:rFonts w:ascii="Arial" w:hAnsi="Arial" w:cs="Arial"/>
          <w:bCs/>
          <w:sz w:val="20"/>
          <w:szCs w:val="20"/>
        </w:rPr>
        <w:t xml:space="preserve">La classificazione degli Stati esteri (codici Istat e 3 cifre) per la codifica univoca delle cittadinanze straniere: </w:t>
      </w:r>
      <w:hyperlink r:id="rId32" w:history="1">
        <w:r w:rsidRPr="00E22D54">
          <w:rPr>
            <w:rStyle w:val="Collegamentoipertestuale"/>
            <w:rFonts w:ascii="Arial" w:hAnsi="Arial" w:cs="Arial"/>
            <w:bCs/>
            <w:sz w:val="20"/>
            <w:szCs w:val="20"/>
          </w:rPr>
          <w:t>https://www.istat.it/it/archivio/6747</w:t>
        </w:r>
      </w:hyperlink>
    </w:p>
    <w:p w14:paraId="32AC8543" w14:textId="3288554D" w:rsidR="00E32DF1" w:rsidRPr="00E22D54" w:rsidRDefault="00E32DF1" w:rsidP="001C4485">
      <w:pPr>
        <w:spacing w:after="120"/>
        <w:jc w:val="both"/>
        <w:rPr>
          <w:rFonts w:ascii="Arial" w:hAnsi="Arial" w:cs="Arial"/>
          <w:bCs/>
          <w:sz w:val="20"/>
          <w:szCs w:val="20"/>
        </w:rPr>
      </w:pPr>
      <w:r w:rsidRPr="00E22D54">
        <w:rPr>
          <w:rFonts w:ascii="Arial" w:hAnsi="Arial" w:cs="Arial"/>
          <w:bCs/>
          <w:sz w:val="20"/>
          <w:szCs w:val="20"/>
        </w:rPr>
        <w:lastRenderedPageBreak/>
        <w:t>Viene effettuato un costan</w:t>
      </w:r>
      <w:r w:rsidR="006141F8" w:rsidRPr="00E22D54">
        <w:rPr>
          <w:rFonts w:ascii="Arial" w:hAnsi="Arial" w:cs="Arial"/>
          <w:bCs/>
          <w:sz w:val="20"/>
          <w:szCs w:val="20"/>
        </w:rPr>
        <w:t xml:space="preserve">te monitoraggio con i dati </w:t>
      </w:r>
      <w:r w:rsidRPr="00E22D54">
        <w:rPr>
          <w:rFonts w:ascii="Arial" w:hAnsi="Arial" w:cs="Arial"/>
          <w:bCs/>
          <w:sz w:val="20"/>
          <w:szCs w:val="20"/>
        </w:rPr>
        <w:t xml:space="preserve">contenuti nel modello D.7.A. (Rilevazione degli eventi demografici di Stato Civile) che forniscono, mensilmente e per comune di evento, il numero di unioni civili. </w:t>
      </w:r>
    </w:p>
    <w:p w14:paraId="06274BD6" w14:textId="77777777" w:rsidR="005E43F1" w:rsidRPr="00E22D54" w:rsidRDefault="005E43F1" w:rsidP="001C4485">
      <w:pPr>
        <w:spacing w:after="120"/>
        <w:jc w:val="both"/>
        <w:rPr>
          <w:rFonts w:ascii="Arial" w:hAnsi="Arial" w:cs="Arial"/>
          <w:bCs/>
          <w:sz w:val="20"/>
          <w:szCs w:val="20"/>
        </w:rPr>
      </w:pPr>
      <w:r w:rsidRPr="00E22D54">
        <w:rPr>
          <w:rFonts w:ascii="Arial" w:hAnsi="Arial" w:cs="Arial"/>
          <w:bCs/>
          <w:sz w:val="20"/>
          <w:szCs w:val="20"/>
        </w:rPr>
        <w:t>“Censimento permanente della popolazione”. Anni 2018, 2019 e 2020.</w:t>
      </w:r>
    </w:p>
    <w:p w14:paraId="2C95099D" w14:textId="510A9432" w:rsidR="005E43F1" w:rsidRPr="00D63FDD" w:rsidRDefault="005E43F1" w:rsidP="001C4485">
      <w:pPr>
        <w:spacing w:after="120"/>
        <w:jc w:val="both"/>
        <w:rPr>
          <w:rFonts w:ascii="Arial" w:hAnsi="Arial" w:cs="Arial"/>
          <w:bCs/>
          <w:sz w:val="20"/>
          <w:szCs w:val="20"/>
        </w:rPr>
      </w:pPr>
      <w:r w:rsidRPr="00E22D54">
        <w:rPr>
          <w:rFonts w:ascii="Arial" w:hAnsi="Arial" w:cs="Arial"/>
          <w:bCs/>
          <w:sz w:val="20"/>
          <w:szCs w:val="20"/>
        </w:rPr>
        <w:t>“Ricostruzione della popolazione residente per età al 1° gennaio”. Anni 2002-2019</w:t>
      </w:r>
      <w:r w:rsidRPr="00E22D54">
        <w:rPr>
          <w:rFonts w:ascii="Arial" w:hAnsi="Arial" w:cs="Arial"/>
          <w:bCs/>
          <w:sz w:val="20"/>
          <w:szCs w:val="20"/>
        </w:rPr>
        <w:br/>
        <w:t>Ricostruzione del bilancio demografico, anni 2002-2018.</w:t>
      </w:r>
    </w:p>
    <w:p w14:paraId="54370C36" w14:textId="77777777" w:rsidR="008357DD" w:rsidRDefault="008357DD"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Diffusione</w:t>
      </w:r>
    </w:p>
    <w:p w14:paraId="5EDC4C08" w14:textId="0FA2F3BF" w:rsidR="008357DD" w:rsidRDefault="008357DD" w:rsidP="001C4485">
      <w:pPr>
        <w:spacing w:after="120"/>
        <w:jc w:val="both"/>
        <w:rPr>
          <w:rFonts w:ascii="Arial" w:hAnsi="Arial" w:cs="Arial"/>
          <w:bCs/>
          <w:sz w:val="20"/>
          <w:szCs w:val="20"/>
        </w:rPr>
      </w:pPr>
      <w:r>
        <w:rPr>
          <w:rFonts w:ascii="Arial" w:hAnsi="Arial" w:cs="Arial"/>
          <w:bCs/>
          <w:sz w:val="20"/>
          <w:szCs w:val="20"/>
        </w:rPr>
        <w:t xml:space="preserve">I principali risultati saranno a breve disponibili on line consultando il datawarehouse I.Stat all’indirizzo http://dati.istat.it/ e il sistema tematico Demo, all’indirizzo </w:t>
      </w:r>
      <w:hyperlink r:id="rId33" w:history="1">
        <w:r w:rsidR="006141F8" w:rsidRPr="008440D9">
          <w:rPr>
            <w:rStyle w:val="Collegamentoipertestuale"/>
            <w:rFonts w:ascii="Arial" w:hAnsi="Arial" w:cs="Arial"/>
            <w:bCs/>
            <w:sz w:val="20"/>
            <w:szCs w:val="20"/>
          </w:rPr>
          <w:t>http://demo.istat.it/</w:t>
        </w:r>
      </w:hyperlink>
      <w:r>
        <w:rPr>
          <w:rFonts w:ascii="Arial" w:hAnsi="Arial" w:cs="Arial"/>
          <w:bCs/>
          <w:sz w:val="20"/>
          <w:szCs w:val="20"/>
        </w:rPr>
        <w:t>.</w:t>
      </w:r>
    </w:p>
    <w:p w14:paraId="7B76EC8C" w14:textId="3C1B1EE0" w:rsidR="006141F8" w:rsidRPr="00E16DC4" w:rsidRDefault="006141F8" w:rsidP="001C4485">
      <w:pPr>
        <w:pStyle w:val="Testonotadichiusura"/>
        <w:spacing w:after="120"/>
        <w:jc w:val="both"/>
        <w:rPr>
          <w:rFonts w:ascii="Arial" w:hAnsi="Arial" w:cs="Arial"/>
          <w:sz w:val="16"/>
          <w:szCs w:val="16"/>
        </w:rPr>
      </w:pPr>
      <w:r>
        <w:rPr>
          <w:rFonts w:ascii="Arial" w:hAnsi="Arial" w:cs="Arial"/>
          <w:bCs/>
        </w:rPr>
        <w:t xml:space="preserve">I dati precedenti al 2018, elaborati sulla base dei dati derivanti dalla </w:t>
      </w:r>
      <w:r w:rsidRPr="00E32DF1">
        <w:rPr>
          <w:rFonts w:ascii="Arial" w:hAnsi="Arial" w:cs="Arial"/>
          <w:bCs/>
        </w:rPr>
        <w:t>Rilevazione degli eve</w:t>
      </w:r>
      <w:r>
        <w:rPr>
          <w:rFonts w:ascii="Arial" w:hAnsi="Arial" w:cs="Arial"/>
          <w:bCs/>
        </w:rPr>
        <w:t>nti demografici di Stato Civile,</w:t>
      </w:r>
      <w:r w:rsidRPr="00E32DF1">
        <w:rPr>
          <w:rFonts w:ascii="Arial" w:hAnsi="Arial" w:cs="Arial"/>
          <w:bCs/>
        </w:rPr>
        <w:t xml:space="preserve"> </w:t>
      </w:r>
      <w:r>
        <w:rPr>
          <w:rFonts w:ascii="Arial" w:hAnsi="Arial" w:cs="Arial"/>
          <w:bCs/>
        </w:rPr>
        <w:t xml:space="preserve">sono stati diffusi con la </w:t>
      </w:r>
      <w:r>
        <w:rPr>
          <w:rFonts w:ascii="Arial" w:hAnsi="Arial" w:cs="Arial"/>
        </w:rPr>
        <w:t>Statistica Report “</w:t>
      </w:r>
      <w:r w:rsidRPr="006141F8">
        <w:rPr>
          <w:rFonts w:ascii="Arial" w:hAnsi="Arial" w:cs="Arial"/>
        </w:rPr>
        <w:t>Popolazione residente per stato civile. Anno 2018</w:t>
      </w:r>
      <w:r>
        <w:rPr>
          <w:rFonts w:ascii="Arial" w:hAnsi="Arial" w:cs="Arial"/>
        </w:rPr>
        <w:t>”</w:t>
      </w:r>
      <w:r w:rsidRPr="006141F8">
        <w:rPr>
          <w:rFonts w:ascii="Arial" w:hAnsi="Arial" w:cs="Arial"/>
        </w:rPr>
        <w:t>.</w:t>
      </w:r>
    </w:p>
    <w:p w14:paraId="558381DA" w14:textId="77777777" w:rsidR="00CC689B" w:rsidRDefault="00CC689B"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Riferimenti normativi</w:t>
      </w:r>
    </w:p>
    <w:p w14:paraId="5193CF91" w14:textId="77777777" w:rsidR="008D6D52" w:rsidRDefault="00CC689B" w:rsidP="001C4485">
      <w:pPr>
        <w:spacing w:after="120"/>
        <w:jc w:val="both"/>
        <w:rPr>
          <w:rFonts w:ascii="Arial" w:hAnsi="Arial" w:cs="Arial"/>
          <w:bCs/>
          <w:sz w:val="20"/>
          <w:szCs w:val="20"/>
        </w:rPr>
      </w:pPr>
      <w:r>
        <w:rPr>
          <w:rFonts w:ascii="Arial" w:hAnsi="Arial" w:cs="Arial"/>
          <w:bCs/>
          <w:sz w:val="20"/>
          <w:szCs w:val="20"/>
        </w:rPr>
        <w:t xml:space="preserve">Legge 20 maggio 2016, n. 76 sulla “Regolamentazione delle unioni civili tra persone dello stesso sesso e disciplina delle convivenze”, in vigore dal 5 giugno 2016. </w:t>
      </w:r>
    </w:p>
    <w:p w14:paraId="39B66007" w14:textId="630CFB86" w:rsidR="008D6D52" w:rsidRDefault="00CC689B" w:rsidP="001C4485">
      <w:pPr>
        <w:spacing w:after="120"/>
        <w:jc w:val="both"/>
        <w:rPr>
          <w:rFonts w:ascii="Arial" w:hAnsi="Arial" w:cs="Arial"/>
          <w:bCs/>
          <w:sz w:val="20"/>
          <w:szCs w:val="20"/>
        </w:rPr>
      </w:pPr>
      <w:r>
        <w:rPr>
          <w:rFonts w:ascii="Arial" w:hAnsi="Arial" w:cs="Arial"/>
          <w:bCs/>
          <w:sz w:val="20"/>
          <w:szCs w:val="20"/>
        </w:rPr>
        <w:t>D.P.C.M</w:t>
      </w:r>
      <w:r w:rsidR="00862ABE">
        <w:rPr>
          <w:rFonts w:ascii="Arial" w:hAnsi="Arial" w:cs="Arial"/>
          <w:bCs/>
          <w:sz w:val="20"/>
          <w:szCs w:val="20"/>
        </w:rPr>
        <w:t>.</w:t>
      </w:r>
      <w:r>
        <w:rPr>
          <w:rFonts w:ascii="Arial" w:hAnsi="Arial" w:cs="Arial"/>
          <w:bCs/>
          <w:sz w:val="20"/>
          <w:szCs w:val="20"/>
        </w:rPr>
        <w:t xml:space="preserve"> 23 luglio 2016, n. 144 “Regolamento recante disposizioni transitorie necessarie per la tenuta dei registri dell’archivio nello stato civile, ai sensi dell’articolo 1, comma 34, della </w:t>
      </w:r>
      <w:r w:rsidR="003E32B7">
        <w:rPr>
          <w:rFonts w:ascii="Arial" w:hAnsi="Arial" w:cs="Arial"/>
          <w:bCs/>
          <w:sz w:val="20"/>
          <w:szCs w:val="20"/>
        </w:rPr>
        <w:t>L</w:t>
      </w:r>
      <w:r>
        <w:rPr>
          <w:rFonts w:ascii="Arial" w:hAnsi="Arial" w:cs="Arial"/>
          <w:bCs/>
          <w:sz w:val="20"/>
          <w:szCs w:val="20"/>
        </w:rPr>
        <w:t xml:space="preserve">egge 20 maggio 2016, n.76”, in vigore dal 29 luglio 2016. </w:t>
      </w:r>
    </w:p>
    <w:p w14:paraId="253F2650" w14:textId="7F1FB792" w:rsidR="00CC689B" w:rsidRDefault="00CC689B" w:rsidP="001C4485">
      <w:pPr>
        <w:spacing w:after="120"/>
        <w:jc w:val="both"/>
        <w:rPr>
          <w:rFonts w:ascii="Arial" w:hAnsi="Arial" w:cs="Arial"/>
          <w:bCs/>
          <w:sz w:val="20"/>
          <w:szCs w:val="20"/>
        </w:rPr>
      </w:pPr>
      <w:r>
        <w:rPr>
          <w:rFonts w:ascii="Arial" w:hAnsi="Arial" w:cs="Arial"/>
          <w:bCs/>
          <w:sz w:val="20"/>
          <w:szCs w:val="20"/>
        </w:rPr>
        <w:t xml:space="preserve">D.lgs. 19 gennaio 2017, n. 6 “Modificazioni ed integrazioni normative in materia penale per il necessario coordinamento con la disciplina delle unioni civili, ai sensi dell’articolo 1, comma 28, lettera c), della </w:t>
      </w:r>
      <w:r w:rsidR="003E32B7">
        <w:rPr>
          <w:rFonts w:ascii="Arial" w:hAnsi="Arial" w:cs="Arial"/>
          <w:bCs/>
          <w:sz w:val="20"/>
          <w:szCs w:val="20"/>
        </w:rPr>
        <w:t>L</w:t>
      </w:r>
      <w:r>
        <w:rPr>
          <w:rFonts w:ascii="Arial" w:hAnsi="Arial" w:cs="Arial"/>
          <w:bCs/>
          <w:sz w:val="20"/>
          <w:szCs w:val="20"/>
        </w:rPr>
        <w:t>egge 20 maggio 2016, n. 76” in vigore dall’11 febbraio 2017.</w:t>
      </w:r>
    </w:p>
    <w:p w14:paraId="347A8570" w14:textId="77777777" w:rsidR="003833B9" w:rsidRPr="00714AFD" w:rsidRDefault="003833B9" w:rsidP="001C4485">
      <w:pPr>
        <w:spacing w:after="120"/>
        <w:jc w:val="both"/>
        <w:rPr>
          <w:rFonts w:ascii="Arial" w:hAnsi="Arial" w:cs="Arial"/>
          <w:bCs/>
          <w:color w:val="1F497D" w:themeColor="text2"/>
          <w:sz w:val="22"/>
          <w:szCs w:val="22"/>
        </w:rPr>
      </w:pPr>
    </w:p>
    <w:p w14:paraId="31D1BD98" w14:textId="1BF0FB7C" w:rsidR="00CC689B" w:rsidRPr="000810FD" w:rsidRDefault="00FD7DB7" w:rsidP="001C4485">
      <w:pPr>
        <w:spacing w:after="120"/>
        <w:jc w:val="both"/>
        <w:rPr>
          <w:rFonts w:ascii="Arial" w:hAnsi="Arial" w:cs="Arial"/>
          <w:b/>
          <w:bCs/>
          <w:color w:val="1F497D" w:themeColor="text2"/>
        </w:rPr>
      </w:pPr>
      <w:r w:rsidRPr="000810FD">
        <w:rPr>
          <w:rFonts w:ascii="Arial" w:hAnsi="Arial" w:cs="Arial"/>
          <w:b/>
          <w:bCs/>
          <w:color w:val="1F497D" w:themeColor="text2"/>
        </w:rPr>
        <w:t>L</w:t>
      </w:r>
      <w:r w:rsidR="003833B9" w:rsidRPr="000810FD">
        <w:rPr>
          <w:rFonts w:ascii="Arial" w:hAnsi="Arial" w:cs="Arial"/>
          <w:b/>
          <w:bCs/>
          <w:color w:val="1F497D" w:themeColor="text2"/>
        </w:rPr>
        <w:t>a</w:t>
      </w:r>
      <w:r w:rsidR="00CC689B" w:rsidRPr="000810FD">
        <w:rPr>
          <w:rFonts w:ascii="Arial" w:hAnsi="Arial" w:cs="Arial"/>
          <w:b/>
          <w:bCs/>
          <w:color w:val="1F497D" w:themeColor="text2"/>
        </w:rPr>
        <w:t xml:space="preserve"> rilevazione su Separazioni e</w:t>
      </w:r>
      <w:r w:rsidRPr="000810FD">
        <w:rPr>
          <w:rFonts w:ascii="Arial" w:hAnsi="Arial" w:cs="Arial"/>
          <w:b/>
          <w:bCs/>
          <w:color w:val="1F497D" w:themeColor="text2"/>
        </w:rPr>
        <w:t xml:space="preserve"> </w:t>
      </w:r>
      <w:r w:rsidR="00CC689B" w:rsidRPr="000810FD">
        <w:rPr>
          <w:rFonts w:ascii="Arial" w:hAnsi="Arial" w:cs="Arial"/>
          <w:b/>
          <w:bCs/>
          <w:color w:val="1F497D" w:themeColor="text2"/>
        </w:rPr>
        <w:t>Divorzi</w:t>
      </w:r>
    </w:p>
    <w:p w14:paraId="26E80F98" w14:textId="77777777" w:rsidR="008D6D52" w:rsidRPr="00574FC2" w:rsidRDefault="008D6D52" w:rsidP="001C4485">
      <w:pPr>
        <w:spacing w:after="120"/>
        <w:jc w:val="both"/>
        <w:rPr>
          <w:rFonts w:ascii="Arial" w:hAnsi="Arial" w:cs="Arial"/>
          <w:b/>
          <w:bCs/>
          <w:color w:val="1F497D" w:themeColor="text2"/>
          <w:sz w:val="22"/>
          <w:szCs w:val="22"/>
        </w:rPr>
      </w:pPr>
      <w:r w:rsidRPr="00574FC2">
        <w:rPr>
          <w:rFonts w:ascii="Arial" w:hAnsi="Arial" w:cs="Arial"/>
          <w:b/>
          <w:bCs/>
          <w:color w:val="1F497D" w:themeColor="text2"/>
          <w:sz w:val="22"/>
          <w:szCs w:val="22"/>
        </w:rPr>
        <w:t>Obiettivi conoscitivi e quadro di riferimento</w:t>
      </w:r>
    </w:p>
    <w:p w14:paraId="7AD390BA" w14:textId="0B6C2131" w:rsidR="008D6D52" w:rsidRDefault="008D6D52" w:rsidP="001C4485">
      <w:pPr>
        <w:spacing w:after="120"/>
        <w:jc w:val="both"/>
        <w:rPr>
          <w:rFonts w:ascii="Arial" w:hAnsi="Arial" w:cs="Arial"/>
          <w:bCs/>
          <w:sz w:val="20"/>
          <w:szCs w:val="20"/>
        </w:rPr>
      </w:pPr>
      <w:r w:rsidRPr="008D6D52">
        <w:rPr>
          <w:rFonts w:ascii="Arial" w:hAnsi="Arial" w:cs="Arial"/>
          <w:bCs/>
          <w:sz w:val="20"/>
          <w:szCs w:val="20"/>
        </w:rPr>
        <w:t>La rilevazione delle separazioni personali dei coniugi e la rilevazione degli scioglimenti e cessazioni degli effetti civili del matrimonio (divorzi) hanno come obiettivo il monitoraggio dell’instabilità coniugale e lo studio del contesto socio-economico in cui questa avviene.</w:t>
      </w:r>
      <w:r>
        <w:rPr>
          <w:rFonts w:ascii="Arial" w:hAnsi="Arial" w:cs="Arial"/>
          <w:bCs/>
          <w:sz w:val="20"/>
          <w:szCs w:val="20"/>
        </w:rPr>
        <w:t xml:space="preserve"> </w:t>
      </w:r>
      <w:r w:rsidRPr="008D6D52">
        <w:rPr>
          <w:rFonts w:ascii="Arial" w:hAnsi="Arial" w:cs="Arial"/>
          <w:bCs/>
          <w:sz w:val="20"/>
          <w:szCs w:val="20"/>
        </w:rPr>
        <w:t>I dati rilevati consentono di analizzare le diverse componenti del fenomeno: procedimento e ricorso all’assistenza legale, matrimonio all’origine, caratteristiche dei coniugi ed eventuali figli coinvolti, provvedimenti economici quali il contributo per il mantenimento e l’assegnazione della casa coniugale. Queste informazioni permettono di far luce sulle modifiche strutturali e sulle tendenze recenti relativamente allo scioglimento dei matrimoni formalizzato a seguito di un iter giudiziario o extra-giudiziale.</w:t>
      </w:r>
      <w:r w:rsidR="006141F8">
        <w:rPr>
          <w:rFonts w:ascii="Arial" w:hAnsi="Arial" w:cs="Arial"/>
          <w:bCs/>
          <w:sz w:val="20"/>
          <w:szCs w:val="20"/>
        </w:rPr>
        <w:t xml:space="preserve"> Le rilevazioni sono inserite nel Programma Statistico Nazionale (codice IST-02798).</w:t>
      </w:r>
    </w:p>
    <w:p w14:paraId="4CEA5CC2" w14:textId="06EC8098" w:rsidR="00714AFD" w:rsidRDefault="00656424" w:rsidP="001C4485">
      <w:pPr>
        <w:spacing w:after="120"/>
        <w:jc w:val="both"/>
        <w:rPr>
          <w:rFonts w:ascii="Arial" w:hAnsi="Arial" w:cs="Arial"/>
          <w:bCs/>
          <w:sz w:val="20"/>
          <w:szCs w:val="20"/>
        </w:rPr>
      </w:pPr>
      <w:r w:rsidRPr="00656424">
        <w:rPr>
          <w:rFonts w:ascii="Arial" w:hAnsi="Arial" w:cs="Arial"/>
          <w:bCs/>
          <w:sz w:val="20"/>
          <w:szCs w:val="20"/>
        </w:rPr>
        <w:t>L’Istat rileva le separazioni e i divorzi condotti pr</w:t>
      </w:r>
      <w:r w:rsidR="006B0836">
        <w:rPr>
          <w:rFonts w:ascii="Arial" w:hAnsi="Arial" w:cs="Arial"/>
          <w:bCs/>
          <w:sz w:val="20"/>
          <w:szCs w:val="20"/>
        </w:rPr>
        <w:t>esso le cancellerie civili dei T</w:t>
      </w:r>
      <w:r w:rsidRPr="00656424">
        <w:rPr>
          <w:rFonts w:ascii="Arial" w:hAnsi="Arial" w:cs="Arial"/>
          <w:bCs/>
          <w:sz w:val="20"/>
          <w:szCs w:val="20"/>
        </w:rPr>
        <w:t>ribunali della Repubblica, raccogliendo i dati relativi a ogni singolo procedimento concluso dal punto di vista giudiziario nell’anno di riferimento (tramite, rispettivamente, i modell</w:t>
      </w:r>
      <w:r>
        <w:rPr>
          <w:rFonts w:ascii="Arial" w:hAnsi="Arial" w:cs="Arial"/>
          <w:bCs/>
          <w:sz w:val="20"/>
          <w:szCs w:val="20"/>
        </w:rPr>
        <w:t>i Istat M. 252 e Istat M. 253).</w:t>
      </w:r>
      <w:r w:rsidR="00FC445C">
        <w:rPr>
          <w:rFonts w:ascii="Arial" w:hAnsi="Arial" w:cs="Arial"/>
          <w:bCs/>
          <w:sz w:val="20"/>
          <w:szCs w:val="20"/>
        </w:rPr>
        <w:t xml:space="preserve"> </w:t>
      </w:r>
      <w:r w:rsidRPr="00656424">
        <w:rPr>
          <w:rFonts w:ascii="Arial" w:hAnsi="Arial" w:cs="Arial"/>
          <w:bCs/>
          <w:sz w:val="20"/>
          <w:szCs w:val="20"/>
        </w:rPr>
        <w:t>A seguito dell’introduzione della normativa sugli accordi extragiudiziali in tema di separazione e divorzio (</w:t>
      </w:r>
      <w:r w:rsidR="003E32B7">
        <w:rPr>
          <w:rFonts w:ascii="Arial" w:hAnsi="Arial" w:cs="Arial"/>
          <w:bCs/>
          <w:sz w:val="20"/>
          <w:szCs w:val="20"/>
        </w:rPr>
        <w:t>D</w:t>
      </w:r>
      <w:r w:rsidRPr="00656424">
        <w:rPr>
          <w:rFonts w:ascii="Arial" w:hAnsi="Arial" w:cs="Arial"/>
          <w:bCs/>
          <w:sz w:val="20"/>
          <w:szCs w:val="20"/>
        </w:rPr>
        <w:t>ecreto</w:t>
      </w:r>
      <w:r w:rsidR="003E32B7">
        <w:rPr>
          <w:rFonts w:ascii="Arial" w:hAnsi="Arial" w:cs="Arial"/>
          <w:bCs/>
          <w:sz w:val="20"/>
          <w:szCs w:val="20"/>
        </w:rPr>
        <w:t xml:space="preserve"> </w:t>
      </w:r>
      <w:r w:rsidRPr="00656424">
        <w:rPr>
          <w:rFonts w:ascii="Arial" w:hAnsi="Arial" w:cs="Arial"/>
          <w:bCs/>
          <w:sz w:val="20"/>
          <w:szCs w:val="20"/>
        </w:rPr>
        <w:t>legge 12 settembre 2014, n.132), una parte della procedura amministrativa relativa alle separazioni e ai divorzi, quella consensuale, non è p</w:t>
      </w:r>
      <w:r w:rsidR="006B0836">
        <w:rPr>
          <w:rFonts w:ascii="Arial" w:hAnsi="Arial" w:cs="Arial"/>
          <w:bCs/>
          <w:sz w:val="20"/>
          <w:szCs w:val="20"/>
        </w:rPr>
        <w:t>iù di competenza esclusiva dei T</w:t>
      </w:r>
      <w:r w:rsidRPr="00656424">
        <w:rPr>
          <w:rFonts w:ascii="Arial" w:hAnsi="Arial" w:cs="Arial"/>
          <w:bCs/>
          <w:sz w:val="20"/>
          <w:szCs w:val="20"/>
        </w:rPr>
        <w:t xml:space="preserve">ribunali e vede oggi coinvolti, direttamente o indirettamente, anche gli </w:t>
      </w:r>
      <w:r w:rsidR="005C35E9">
        <w:rPr>
          <w:rFonts w:ascii="Arial" w:hAnsi="Arial" w:cs="Arial"/>
          <w:bCs/>
          <w:sz w:val="20"/>
          <w:szCs w:val="20"/>
        </w:rPr>
        <w:t>U</w:t>
      </w:r>
      <w:r w:rsidRPr="00656424">
        <w:rPr>
          <w:rFonts w:ascii="Arial" w:hAnsi="Arial" w:cs="Arial"/>
          <w:bCs/>
          <w:sz w:val="20"/>
          <w:szCs w:val="20"/>
        </w:rPr>
        <w:t xml:space="preserve">fficiali di </w:t>
      </w:r>
      <w:r w:rsidR="005C35E9">
        <w:rPr>
          <w:rFonts w:ascii="Arial" w:hAnsi="Arial" w:cs="Arial"/>
          <w:bCs/>
          <w:sz w:val="20"/>
          <w:szCs w:val="20"/>
        </w:rPr>
        <w:t>S</w:t>
      </w:r>
      <w:r w:rsidRPr="00656424">
        <w:rPr>
          <w:rFonts w:ascii="Arial" w:hAnsi="Arial" w:cs="Arial"/>
          <w:bCs/>
          <w:sz w:val="20"/>
          <w:szCs w:val="20"/>
        </w:rPr>
        <w:t xml:space="preserve">tato </w:t>
      </w:r>
      <w:r w:rsidR="005C35E9">
        <w:rPr>
          <w:rFonts w:ascii="Arial" w:hAnsi="Arial" w:cs="Arial"/>
          <w:bCs/>
          <w:sz w:val="20"/>
          <w:szCs w:val="20"/>
        </w:rPr>
        <w:t>C</w:t>
      </w:r>
      <w:r w:rsidRPr="00656424">
        <w:rPr>
          <w:rFonts w:ascii="Arial" w:hAnsi="Arial" w:cs="Arial"/>
          <w:bCs/>
          <w:sz w:val="20"/>
          <w:szCs w:val="20"/>
        </w:rPr>
        <w:t>ivile</w:t>
      </w:r>
      <w:r>
        <w:rPr>
          <w:rFonts w:ascii="Arial" w:hAnsi="Arial" w:cs="Arial"/>
          <w:bCs/>
          <w:sz w:val="20"/>
          <w:szCs w:val="20"/>
        </w:rPr>
        <w:t xml:space="preserve"> che trasmettono il modello Istat SC.6-12.sd) con </w:t>
      </w:r>
      <w:r w:rsidRPr="00656424">
        <w:rPr>
          <w:rFonts w:ascii="Arial" w:hAnsi="Arial" w:cs="Arial"/>
          <w:bCs/>
          <w:sz w:val="20"/>
          <w:szCs w:val="20"/>
        </w:rPr>
        <w:t>due differenti percorsi a seconda che si tratti di:</w:t>
      </w:r>
      <w:r w:rsidR="008357DD">
        <w:rPr>
          <w:rFonts w:ascii="Arial" w:hAnsi="Arial" w:cs="Arial"/>
          <w:bCs/>
          <w:sz w:val="20"/>
          <w:szCs w:val="20"/>
        </w:rPr>
        <w:t xml:space="preserve"> </w:t>
      </w:r>
      <w:r w:rsidRPr="00656424">
        <w:rPr>
          <w:rFonts w:ascii="Arial" w:hAnsi="Arial" w:cs="Arial"/>
          <w:bCs/>
          <w:sz w:val="20"/>
          <w:szCs w:val="20"/>
        </w:rPr>
        <w:t>accord</w:t>
      </w:r>
      <w:r w:rsidR="008357DD">
        <w:rPr>
          <w:rFonts w:ascii="Arial" w:hAnsi="Arial" w:cs="Arial"/>
          <w:bCs/>
          <w:sz w:val="20"/>
          <w:szCs w:val="20"/>
        </w:rPr>
        <w:t>o</w:t>
      </w:r>
      <w:r w:rsidRPr="00656424">
        <w:rPr>
          <w:rFonts w:ascii="Arial" w:hAnsi="Arial" w:cs="Arial"/>
          <w:bCs/>
          <w:sz w:val="20"/>
          <w:szCs w:val="20"/>
        </w:rPr>
        <w:t xml:space="preserve"> extragiudiziali di separazione o divorzio </w:t>
      </w:r>
      <w:r w:rsidR="00315EE7">
        <w:rPr>
          <w:rFonts w:ascii="Arial" w:hAnsi="Arial" w:cs="Arial"/>
          <w:bCs/>
          <w:sz w:val="20"/>
          <w:szCs w:val="20"/>
        </w:rPr>
        <w:t>-</w:t>
      </w:r>
      <w:r w:rsidRPr="00656424">
        <w:rPr>
          <w:rFonts w:ascii="Arial" w:hAnsi="Arial" w:cs="Arial"/>
          <w:bCs/>
          <w:sz w:val="20"/>
          <w:szCs w:val="20"/>
        </w:rPr>
        <w:t xml:space="preserve"> in presenza di figli minori o maggiorenni incapaci o portatori di handicap grave ovvero economicamente non autosufficienti o in presenza di accordi di trasferimento patrimoniale tra i coniugi </w:t>
      </w:r>
      <w:r w:rsidR="00315EE7">
        <w:rPr>
          <w:rFonts w:ascii="Arial" w:hAnsi="Arial" w:cs="Arial"/>
          <w:bCs/>
          <w:sz w:val="20"/>
          <w:szCs w:val="20"/>
        </w:rPr>
        <w:t>-</w:t>
      </w:r>
      <w:r w:rsidRPr="00656424">
        <w:rPr>
          <w:rFonts w:ascii="Arial" w:hAnsi="Arial" w:cs="Arial"/>
          <w:bCs/>
          <w:sz w:val="20"/>
          <w:szCs w:val="20"/>
        </w:rPr>
        <w:t xml:space="preserve"> con procedura di negoziazione assistita dagli avvocati i quali, entro 10 giorni dalla data di comunicazione alle parti del provvedimento del Procuratore della Repubblica o del Presidente del Tribunale, devono trasmettere l’accordo, munito del nullaosta, all’Ufficio di Stato Civile (accordi ex art.6);</w:t>
      </w:r>
      <w:r w:rsidR="008357DD">
        <w:rPr>
          <w:rFonts w:ascii="Arial" w:hAnsi="Arial" w:cs="Arial"/>
          <w:bCs/>
          <w:sz w:val="20"/>
          <w:szCs w:val="20"/>
        </w:rPr>
        <w:t xml:space="preserve"> accordo</w:t>
      </w:r>
      <w:r w:rsidRPr="00656424">
        <w:rPr>
          <w:rFonts w:ascii="Arial" w:hAnsi="Arial" w:cs="Arial"/>
          <w:bCs/>
          <w:sz w:val="20"/>
          <w:szCs w:val="20"/>
        </w:rPr>
        <w:t xml:space="preserve"> extragiudiziali di separazione o divorzio con procedura diretta di fronte agli </w:t>
      </w:r>
      <w:r w:rsidR="001024E9">
        <w:rPr>
          <w:rFonts w:ascii="Arial" w:hAnsi="Arial" w:cs="Arial"/>
          <w:bCs/>
          <w:sz w:val="20"/>
          <w:szCs w:val="20"/>
        </w:rPr>
        <w:t>U</w:t>
      </w:r>
      <w:r w:rsidRPr="00656424">
        <w:rPr>
          <w:rFonts w:ascii="Arial" w:hAnsi="Arial" w:cs="Arial"/>
          <w:bCs/>
          <w:sz w:val="20"/>
          <w:szCs w:val="20"/>
        </w:rPr>
        <w:t xml:space="preserve">fficiali di </w:t>
      </w:r>
      <w:r w:rsidR="001024E9">
        <w:rPr>
          <w:rFonts w:ascii="Arial" w:hAnsi="Arial" w:cs="Arial"/>
          <w:bCs/>
          <w:sz w:val="20"/>
          <w:szCs w:val="20"/>
        </w:rPr>
        <w:t>S</w:t>
      </w:r>
      <w:r w:rsidRPr="00656424">
        <w:rPr>
          <w:rFonts w:ascii="Arial" w:hAnsi="Arial" w:cs="Arial"/>
          <w:bCs/>
          <w:sz w:val="20"/>
          <w:szCs w:val="20"/>
        </w:rPr>
        <w:t xml:space="preserve">tato </w:t>
      </w:r>
      <w:r w:rsidR="001024E9">
        <w:rPr>
          <w:rFonts w:ascii="Arial" w:hAnsi="Arial" w:cs="Arial"/>
          <w:bCs/>
          <w:sz w:val="20"/>
          <w:szCs w:val="20"/>
        </w:rPr>
        <w:t>C</w:t>
      </w:r>
      <w:r w:rsidRPr="00656424">
        <w:rPr>
          <w:rFonts w:ascii="Arial" w:hAnsi="Arial" w:cs="Arial"/>
          <w:bCs/>
          <w:sz w:val="20"/>
          <w:szCs w:val="20"/>
        </w:rPr>
        <w:t>ivile (accordi ex art.12).</w:t>
      </w:r>
    </w:p>
    <w:p w14:paraId="45DE5C64" w14:textId="77777777" w:rsidR="008357DD" w:rsidRDefault="008357DD"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Processo e metodologie</w:t>
      </w:r>
    </w:p>
    <w:p w14:paraId="5A40D5EE" w14:textId="0F0C9F0D" w:rsidR="008357DD" w:rsidRPr="00656424" w:rsidRDefault="008357DD" w:rsidP="001C4485">
      <w:pPr>
        <w:spacing w:after="120"/>
        <w:jc w:val="both"/>
        <w:rPr>
          <w:rFonts w:ascii="Arial" w:hAnsi="Arial" w:cs="Arial"/>
          <w:bCs/>
          <w:sz w:val="20"/>
          <w:szCs w:val="20"/>
        </w:rPr>
      </w:pPr>
      <w:r w:rsidRPr="00656424">
        <w:rPr>
          <w:rFonts w:ascii="Arial" w:hAnsi="Arial" w:cs="Arial"/>
          <w:bCs/>
          <w:sz w:val="20"/>
          <w:szCs w:val="20"/>
        </w:rPr>
        <w:t>Tutte le rilevazioni delle separazi</w:t>
      </w:r>
      <w:r w:rsidR="006B0836">
        <w:rPr>
          <w:rFonts w:ascii="Arial" w:hAnsi="Arial" w:cs="Arial"/>
          <w:bCs/>
          <w:sz w:val="20"/>
          <w:szCs w:val="20"/>
        </w:rPr>
        <w:t>oni e dei divorzi sia presso i T</w:t>
      </w:r>
      <w:r w:rsidRPr="00656424">
        <w:rPr>
          <w:rFonts w:ascii="Arial" w:hAnsi="Arial" w:cs="Arial"/>
          <w:bCs/>
          <w:sz w:val="20"/>
          <w:szCs w:val="20"/>
        </w:rPr>
        <w:t>ribunali, sia extragiudiziali hanno carattere esaustivo.</w:t>
      </w:r>
      <w:r w:rsidR="00FD7DB7">
        <w:rPr>
          <w:rFonts w:ascii="Arial" w:hAnsi="Arial" w:cs="Arial"/>
          <w:bCs/>
          <w:sz w:val="20"/>
          <w:szCs w:val="20"/>
        </w:rPr>
        <w:t xml:space="preserve"> Si tratta di rilevazioni a carattere continuo anche se, ai fini di razionalizzare i flussi, la raccolta dei dati viene cadenzata mensilmente e i dati analizzati, rilasciati e diffusi annualmente.</w:t>
      </w:r>
    </w:p>
    <w:p w14:paraId="045BECCC" w14:textId="75D4348E" w:rsidR="008357DD" w:rsidRPr="00656424" w:rsidRDefault="008357DD" w:rsidP="001C4485">
      <w:pPr>
        <w:spacing w:after="120"/>
        <w:jc w:val="both"/>
        <w:rPr>
          <w:rFonts w:ascii="Arial" w:hAnsi="Arial" w:cs="Arial"/>
          <w:bCs/>
          <w:sz w:val="20"/>
          <w:szCs w:val="20"/>
        </w:rPr>
      </w:pPr>
      <w:r w:rsidRPr="00656424">
        <w:rPr>
          <w:rFonts w:ascii="Arial" w:hAnsi="Arial" w:cs="Arial"/>
          <w:bCs/>
          <w:sz w:val="20"/>
          <w:szCs w:val="20"/>
        </w:rPr>
        <w:t>Per le separazioni e</w:t>
      </w:r>
      <w:r w:rsidR="006B0836">
        <w:rPr>
          <w:rFonts w:ascii="Arial" w:hAnsi="Arial" w:cs="Arial"/>
          <w:bCs/>
          <w:sz w:val="20"/>
          <w:szCs w:val="20"/>
        </w:rPr>
        <w:t xml:space="preserve"> i divorzi effettuati presso i T</w:t>
      </w:r>
      <w:r w:rsidRPr="00656424">
        <w:rPr>
          <w:rFonts w:ascii="Arial" w:hAnsi="Arial" w:cs="Arial"/>
          <w:bCs/>
          <w:sz w:val="20"/>
          <w:szCs w:val="20"/>
        </w:rPr>
        <w:t>ribunali la rilevazione è organizzata con due modalità</w:t>
      </w:r>
      <w:r>
        <w:rPr>
          <w:rFonts w:ascii="Arial" w:hAnsi="Arial" w:cs="Arial"/>
          <w:bCs/>
          <w:sz w:val="20"/>
          <w:szCs w:val="20"/>
        </w:rPr>
        <w:t xml:space="preserve"> distinte di raccolta dei dati: </w:t>
      </w:r>
      <w:r w:rsidRPr="00656424">
        <w:rPr>
          <w:rFonts w:ascii="Arial" w:hAnsi="Arial" w:cs="Arial"/>
          <w:bCs/>
          <w:sz w:val="20"/>
          <w:szCs w:val="20"/>
        </w:rPr>
        <w:t xml:space="preserve">in ottemperanza agli obblighi di legge previsti in materia di “dematerializzazione delle comunicazioni tra pubbliche amministrazioni” la modalità principale è la raccolta dei dati via </w:t>
      </w:r>
      <w:r w:rsidRPr="000810FD">
        <w:rPr>
          <w:rFonts w:ascii="Arial" w:hAnsi="Arial" w:cs="Arial"/>
          <w:bCs/>
          <w:i/>
          <w:iCs/>
          <w:sz w:val="20"/>
          <w:szCs w:val="20"/>
        </w:rPr>
        <w:t>web</w:t>
      </w:r>
      <w:r w:rsidR="00FC445C">
        <w:rPr>
          <w:rFonts w:ascii="Arial" w:hAnsi="Arial" w:cs="Arial"/>
          <w:bCs/>
          <w:sz w:val="20"/>
          <w:szCs w:val="20"/>
        </w:rPr>
        <w:t>, tramite la piattaforma Istat</w:t>
      </w:r>
      <w:r w:rsidRPr="00656424">
        <w:rPr>
          <w:rFonts w:ascii="Arial" w:hAnsi="Arial" w:cs="Arial"/>
          <w:bCs/>
          <w:sz w:val="20"/>
          <w:szCs w:val="20"/>
        </w:rPr>
        <w:t xml:space="preserve"> </w:t>
      </w:r>
      <w:hyperlink r:id="rId34" w:history="1">
        <w:r w:rsidR="00FD7DB7" w:rsidRPr="00486E7C">
          <w:rPr>
            <w:rStyle w:val="Collegamentoipertestuale"/>
            <w:rFonts w:ascii="Arial" w:hAnsi="Arial" w:cs="Arial"/>
            <w:bCs/>
            <w:sz w:val="20"/>
            <w:szCs w:val="20"/>
          </w:rPr>
          <w:t>https:</w:t>
        </w:r>
        <w:r w:rsidR="00FC445C" w:rsidRPr="00486E7C">
          <w:rPr>
            <w:rStyle w:val="Collegamentoipertestuale"/>
            <w:rFonts w:ascii="Arial" w:hAnsi="Arial" w:cs="Arial"/>
            <w:bCs/>
            <w:sz w:val="20"/>
            <w:szCs w:val="20"/>
          </w:rPr>
          <w:t>//gino.istat.it/giustizia/</w:t>
        </w:r>
      </w:hyperlink>
      <w:r w:rsidR="00FC445C">
        <w:rPr>
          <w:rFonts w:ascii="Arial" w:hAnsi="Arial" w:cs="Arial"/>
          <w:bCs/>
          <w:sz w:val="20"/>
          <w:szCs w:val="20"/>
        </w:rPr>
        <w:t>,</w:t>
      </w:r>
      <w:r w:rsidR="00FD7DB7">
        <w:rPr>
          <w:rFonts w:ascii="Arial" w:hAnsi="Arial" w:cs="Arial"/>
          <w:bCs/>
          <w:sz w:val="20"/>
          <w:szCs w:val="20"/>
        </w:rPr>
        <w:t xml:space="preserve"> </w:t>
      </w:r>
      <w:r>
        <w:rPr>
          <w:rFonts w:ascii="Arial" w:hAnsi="Arial" w:cs="Arial"/>
          <w:bCs/>
          <w:sz w:val="20"/>
          <w:szCs w:val="20"/>
        </w:rPr>
        <w:t xml:space="preserve">attiva dal mese di aprile 2018; </w:t>
      </w:r>
      <w:r w:rsidRPr="00656424">
        <w:rPr>
          <w:rFonts w:ascii="Arial" w:hAnsi="Arial" w:cs="Arial"/>
          <w:bCs/>
          <w:sz w:val="20"/>
          <w:szCs w:val="20"/>
        </w:rPr>
        <w:t xml:space="preserve">in caso di impedimento oggettivo nell’utilizzo di questa modalità è prevista, in alternativa, la compilazione e l’invio dei dati </w:t>
      </w:r>
      <w:r w:rsidR="006141F8">
        <w:rPr>
          <w:rFonts w:ascii="Arial" w:hAnsi="Arial" w:cs="Arial"/>
          <w:bCs/>
          <w:sz w:val="20"/>
          <w:szCs w:val="20"/>
        </w:rPr>
        <w:t>in</w:t>
      </w:r>
      <w:r w:rsidRPr="00656424">
        <w:rPr>
          <w:rFonts w:ascii="Arial" w:hAnsi="Arial" w:cs="Arial"/>
          <w:bCs/>
          <w:sz w:val="20"/>
          <w:szCs w:val="20"/>
        </w:rPr>
        <w:t xml:space="preserve"> modalità cartacea.</w:t>
      </w:r>
    </w:p>
    <w:p w14:paraId="74AADF2E" w14:textId="3A0DF1B4" w:rsidR="008357DD" w:rsidRDefault="008357DD" w:rsidP="001C4485">
      <w:pPr>
        <w:spacing w:after="120"/>
        <w:jc w:val="both"/>
        <w:rPr>
          <w:rFonts w:ascii="Arial" w:hAnsi="Arial" w:cs="Arial"/>
          <w:bCs/>
          <w:sz w:val="20"/>
          <w:szCs w:val="20"/>
        </w:rPr>
      </w:pPr>
      <w:r w:rsidRPr="00656424">
        <w:rPr>
          <w:rFonts w:ascii="Arial" w:hAnsi="Arial" w:cs="Arial"/>
          <w:bCs/>
          <w:sz w:val="20"/>
          <w:szCs w:val="20"/>
        </w:rPr>
        <w:t xml:space="preserve">Per le separazioni e i divorzi effettuati presso i </w:t>
      </w:r>
      <w:r w:rsidR="00486E7C">
        <w:rPr>
          <w:rFonts w:ascii="Arial" w:hAnsi="Arial" w:cs="Arial"/>
          <w:bCs/>
          <w:sz w:val="20"/>
          <w:szCs w:val="20"/>
        </w:rPr>
        <w:t>C</w:t>
      </w:r>
      <w:r w:rsidRPr="00656424">
        <w:rPr>
          <w:rFonts w:ascii="Arial" w:hAnsi="Arial" w:cs="Arial"/>
          <w:bCs/>
          <w:sz w:val="20"/>
          <w:szCs w:val="20"/>
        </w:rPr>
        <w:t>omuni</w:t>
      </w:r>
      <w:r w:rsidR="00FD7DB7">
        <w:rPr>
          <w:rFonts w:ascii="Arial" w:hAnsi="Arial" w:cs="Arial"/>
          <w:bCs/>
          <w:sz w:val="20"/>
          <w:szCs w:val="20"/>
        </w:rPr>
        <w:t xml:space="preserve"> (ex art. 6 e ex art. 12)</w:t>
      </w:r>
      <w:r w:rsidRPr="00656424">
        <w:rPr>
          <w:rFonts w:ascii="Arial" w:hAnsi="Arial" w:cs="Arial"/>
          <w:bCs/>
          <w:sz w:val="20"/>
          <w:szCs w:val="20"/>
        </w:rPr>
        <w:t xml:space="preserve"> </w:t>
      </w:r>
      <w:r w:rsidR="00FD7DB7">
        <w:rPr>
          <w:rFonts w:ascii="Arial" w:hAnsi="Arial" w:cs="Arial"/>
          <w:bCs/>
          <w:sz w:val="20"/>
          <w:szCs w:val="20"/>
        </w:rPr>
        <w:t>la compilazione, acquisizione e trasmissione dei modelli avviene esclusivamente per via telematica a cura degli Ufficiali di Stato civile, attraverso un’utenza personalizzata collegandosi alla piattaforma creata ad hoc dall’Istat per le “Indagini demografiche di Stato Civile” e disponibile al link:</w:t>
      </w:r>
      <w:r w:rsidR="00315EE7">
        <w:rPr>
          <w:rFonts w:ascii="Arial" w:hAnsi="Arial" w:cs="Arial"/>
          <w:bCs/>
          <w:sz w:val="20"/>
          <w:szCs w:val="20"/>
        </w:rPr>
        <w:t xml:space="preserve"> </w:t>
      </w:r>
      <w:hyperlink r:id="rId35" w:history="1">
        <w:r w:rsidR="00FD7DB7">
          <w:rPr>
            <w:rStyle w:val="Collegamentoipertestuale"/>
            <w:rFonts w:ascii="Arial" w:hAnsi="Arial" w:cs="Arial"/>
            <w:bCs/>
            <w:sz w:val="20"/>
            <w:szCs w:val="20"/>
          </w:rPr>
          <w:t>https://gino.istat.it/statocivile/</w:t>
        </w:r>
      </w:hyperlink>
      <w:r w:rsidR="00FD7DB7">
        <w:rPr>
          <w:rFonts w:ascii="Arial" w:hAnsi="Arial" w:cs="Arial"/>
          <w:bCs/>
          <w:sz w:val="20"/>
          <w:szCs w:val="20"/>
        </w:rPr>
        <w:t>.</w:t>
      </w:r>
    </w:p>
    <w:p w14:paraId="183CA294" w14:textId="77777777" w:rsidR="008357DD" w:rsidRDefault="008357DD" w:rsidP="001C4485">
      <w:pPr>
        <w:spacing w:after="120"/>
        <w:jc w:val="both"/>
        <w:rPr>
          <w:rFonts w:ascii="Arial" w:hAnsi="Arial" w:cs="Arial"/>
          <w:bCs/>
          <w:sz w:val="20"/>
          <w:szCs w:val="20"/>
        </w:rPr>
      </w:pPr>
      <w:r>
        <w:rPr>
          <w:rFonts w:ascii="Arial" w:hAnsi="Arial" w:cs="Arial"/>
          <w:bCs/>
          <w:sz w:val="20"/>
          <w:szCs w:val="20"/>
        </w:rPr>
        <w:lastRenderedPageBreak/>
        <w:t>Il controllo della copertura dei dati avviene considerando sia la rilevazione riepilogativa mensile sia la serie storica degli eventi per ciascun Comune. La correzione delle mancate risposte totali e parziali avviene con metodi misti: deterministici nel caso di errori sistematici e probabilistici nel caso di errori stocastici.</w:t>
      </w:r>
    </w:p>
    <w:p w14:paraId="50BE4444" w14:textId="77777777" w:rsidR="008357DD" w:rsidRDefault="008357DD"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Classificazioni e fonti complementari</w:t>
      </w:r>
    </w:p>
    <w:p w14:paraId="487F1658"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Nella rilevazione vengono utilizzate principalmente due classificazioni Istat:</w:t>
      </w:r>
    </w:p>
    <w:p w14:paraId="4E8919CA" w14:textId="43FE5FDB"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 xml:space="preserve">La classificazione dei codici comunali (codici Istat a 6 cifre con codice provincia e codice </w:t>
      </w:r>
      <w:r w:rsidR="00B11612">
        <w:rPr>
          <w:rFonts w:ascii="Arial" w:hAnsi="Arial" w:cs="Arial"/>
          <w:bCs/>
          <w:sz w:val="20"/>
          <w:szCs w:val="20"/>
        </w:rPr>
        <w:t>C</w:t>
      </w:r>
      <w:r w:rsidRPr="00E22D54">
        <w:rPr>
          <w:rFonts w:ascii="Arial" w:hAnsi="Arial" w:cs="Arial"/>
          <w:bCs/>
          <w:sz w:val="20"/>
          <w:szCs w:val="20"/>
        </w:rPr>
        <w:t xml:space="preserve">omune): </w:t>
      </w:r>
      <w:hyperlink r:id="rId36" w:history="1">
        <w:r w:rsidRPr="00E22D54">
          <w:rPr>
            <w:rStyle w:val="Collegamentoipertestuale"/>
            <w:rFonts w:ascii="Arial" w:hAnsi="Arial" w:cs="Arial"/>
            <w:bCs/>
            <w:sz w:val="20"/>
            <w:szCs w:val="20"/>
          </w:rPr>
          <w:t>https://www.istat.it/it/archivio/6789</w:t>
        </w:r>
      </w:hyperlink>
    </w:p>
    <w:p w14:paraId="7CAF42D4"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 xml:space="preserve">La classificazione degli Stati esteri (codici Istat e 3 cifre) per la codifica univoca delle cittadinanze straniere: </w:t>
      </w:r>
      <w:hyperlink r:id="rId37" w:history="1">
        <w:r w:rsidRPr="00E22D54">
          <w:rPr>
            <w:rStyle w:val="Collegamentoipertestuale"/>
            <w:rFonts w:ascii="Arial" w:hAnsi="Arial" w:cs="Arial"/>
            <w:bCs/>
            <w:sz w:val="20"/>
            <w:szCs w:val="20"/>
          </w:rPr>
          <w:t>https://www.istat.it/it/archivio/6747</w:t>
        </w:r>
      </w:hyperlink>
    </w:p>
    <w:p w14:paraId="6AA3C728"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 xml:space="preserve">Viene effettuato un costante monitoraggio con i dati contenuti nel modello D.7.A. (Rilevazione degli eventi demografici di Stato Civile) che forniscono, mensilmente e per comune di evento, il numero di unioni civili. </w:t>
      </w:r>
    </w:p>
    <w:p w14:paraId="281C4B62" w14:textId="77777777" w:rsidR="00FA106C" w:rsidRPr="00E22D54" w:rsidRDefault="00FA106C" w:rsidP="001C4485">
      <w:pPr>
        <w:spacing w:after="120"/>
        <w:jc w:val="both"/>
        <w:rPr>
          <w:rFonts w:ascii="Arial" w:hAnsi="Arial" w:cs="Arial"/>
          <w:bCs/>
          <w:sz w:val="20"/>
          <w:szCs w:val="20"/>
        </w:rPr>
      </w:pPr>
      <w:r w:rsidRPr="00E22D54">
        <w:rPr>
          <w:rFonts w:ascii="Arial" w:hAnsi="Arial" w:cs="Arial"/>
          <w:bCs/>
          <w:sz w:val="20"/>
          <w:szCs w:val="20"/>
        </w:rPr>
        <w:t>“Censimento permanente della popolazione”. Anni 2018, 2019 e 2020.</w:t>
      </w:r>
    </w:p>
    <w:p w14:paraId="6084C01F" w14:textId="77777777" w:rsidR="00FA106C" w:rsidRPr="00D63FDD" w:rsidRDefault="00FA106C" w:rsidP="001C4485">
      <w:pPr>
        <w:spacing w:after="120"/>
        <w:jc w:val="both"/>
        <w:rPr>
          <w:rFonts w:ascii="Arial" w:hAnsi="Arial" w:cs="Arial"/>
          <w:bCs/>
          <w:sz w:val="20"/>
          <w:szCs w:val="20"/>
        </w:rPr>
      </w:pPr>
      <w:r w:rsidRPr="00E22D54">
        <w:rPr>
          <w:rFonts w:ascii="Arial" w:hAnsi="Arial" w:cs="Arial"/>
          <w:bCs/>
          <w:sz w:val="20"/>
          <w:szCs w:val="20"/>
        </w:rPr>
        <w:t>“Ricostruzione della popolazione residente per età al 1° gennaio”. Anni 2002-2019</w:t>
      </w:r>
      <w:r w:rsidRPr="00E22D54">
        <w:rPr>
          <w:rFonts w:ascii="Arial" w:hAnsi="Arial" w:cs="Arial"/>
          <w:bCs/>
          <w:sz w:val="20"/>
          <w:szCs w:val="20"/>
        </w:rPr>
        <w:br/>
        <w:t>Ricostruzione del bilancio demografico, anni 2002-2018.</w:t>
      </w:r>
    </w:p>
    <w:p w14:paraId="6C904585" w14:textId="4E30472A" w:rsidR="00D27BCE" w:rsidRDefault="008357DD" w:rsidP="001C4485">
      <w:pPr>
        <w:spacing w:after="120"/>
        <w:jc w:val="both"/>
        <w:rPr>
          <w:rFonts w:ascii="Arial" w:hAnsi="Arial" w:cs="Arial"/>
          <w:bCs/>
          <w:sz w:val="20"/>
          <w:szCs w:val="20"/>
        </w:rPr>
      </w:pPr>
      <w:r w:rsidRPr="00E32DF1">
        <w:rPr>
          <w:rFonts w:ascii="Arial" w:hAnsi="Arial" w:cs="Arial"/>
          <w:bCs/>
          <w:sz w:val="20"/>
          <w:szCs w:val="20"/>
        </w:rPr>
        <w:t>Viene effettuato un co</w:t>
      </w:r>
      <w:r w:rsidR="00D27BCE">
        <w:rPr>
          <w:rFonts w:ascii="Arial" w:hAnsi="Arial" w:cs="Arial"/>
          <w:bCs/>
          <w:sz w:val="20"/>
          <w:szCs w:val="20"/>
        </w:rPr>
        <w:t xml:space="preserve">stante monitoraggio con i dati riepilogativi del </w:t>
      </w:r>
      <w:r w:rsidR="00D27BCE" w:rsidRPr="00D27BCE">
        <w:rPr>
          <w:rFonts w:ascii="Arial" w:hAnsi="Arial" w:cs="Arial"/>
          <w:bCs/>
          <w:sz w:val="20"/>
          <w:szCs w:val="20"/>
        </w:rPr>
        <w:t>Ministero della Giustizia - Dipartimento dell'Organizzazione Giudiziaria del Personale e dei Servizi - Direzione Generale di Statistica e Analisi organizzativa</w:t>
      </w:r>
      <w:r w:rsidR="00D27BCE">
        <w:rPr>
          <w:rFonts w:ascii="Arial" w:hAnsi="Arial" w:cs="Arial"/>
          <w:bCs/>
          <w:sz w:val="20"/>
          <w:szCs w:val="20"/>
        </w:rPr>
        <w:t xml:space="preserve"> che consentono di poter disporre con maggiore tempestività dei dati a livello di singolo Tribunale delle separazioni e dei divorzi per rito di esaurimento</w:t>
      </w:r>
      <w:r w:rsidR="007E3BB1">
        <w:rPr>
          <w:rFonts w:ascii="Arial" w:hAnsi="Arial" w:cs="Arial"/>
          <w:bCs/>
          <w:sz w:val="20"/>
          <w:szCs w:val="20"/>
        </w:rPr>
        <w:t xml:space="preserve"> (consensuali o giudiziali).</w:t>
      </w:r>
    </w:p>
    <w:p w14:paraId="2575412C" w14:textId="77777777" w:rsidR="00FD7DB7" w:rsidRDefault="00FD7DB7"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Diffusione</w:t>
      </w:r>
    </w:p>
    <w:p w14:paraId="5821340D" w14:textId="2E6C88CB" w:rsidR="00FD7DB7" w:rsidRDefault="00FD7DB7" w:rsidP="001C4485">
      <w:pPr>
        <w:spacing w:after="120"/>
        <w:jc w:val="both"/>
        <w:rPr>
          <w:rFonts w:ascii="Arial" w:hAnsi="Arial" w:cs="Arial"/>
          <w:bCs/>
          <w:sz w:val="20"/>
          <w:szCs w:val="20"/>
        </w:rPr>
      </w:pPr>
      <w:r>
        <w:rPr>
          <w:rFonts w:ascii="Arial" w:hAnsi="Arial" w:cs="Arial"/>
          <w:bCs/>
          <w:sz w:val="20"/>
          <w:szCs w:val="20"/>
        </w:rPr>
        <w:t xml:space="preserve">I principali risultati sono disponibili on line consultando il datawarehouse I.Stat all’indirizzo </w:t>
      </w:r>
      <w:hyperlink r:id="rId38" w:history="1">
        <w:r w:rsidRPr="00B11612">
          <w:rPr>
            <w:rStyle w:val="Collegamentoipertestuale"/>
            <w:rFonts w:ascii="Arial" w:hAnsi="Arial" w:cs="Arial"/>
            <w:bCs/>
            <w:sz w:val="20"/>
            <w:szCs w:val="20"/>
          </w:rPr>
          <w:t>http://dati.istat.it/</w:t>
        </w:r>
      </w:hyperlink>
      <w:r>
        <w:rPr>
          <w:rFonts w:ascii="Arial" w:hAnsi="Arial" w:cs="Arial"/>
          <w:bCs/>
          <w:sz w:val="20"/>
          <w:szCs w:val="20"/>
        </w:rPr>
        <w:t xml:space="preserve"> e il sistema tematico Demo all’indirizzo </w:t>
      </w:r>
      <w:hyperlink r:id="rId39" w:history="1">
        <w:r>
          <w:rPr>
            <w:rStyle w:val="Collegamentoipertestuale"/>
            <w:rFonts w:ascii="Arial" w:hAnsi="Arial" w:cs="Arial"/>
            <w:bCs/>
            <w:sz w:val="20"/>
            <w:szCs w:val="20"/>
          </w:rPr>
          <w:t>http://demo.istat.it/altridati/separazionidivorzi/</w:t>
        </w:r>
      </w:hyperlink>
      <w:r>
        <w:rPr>
          <w:rFonts w:ascii="Arial" w:hAnsi="Arial" w:cs="Arial"/>
          <w:bCs/>
          <w:sz w:val="20"/>
          <w:szCs w:val="20"/>
        </w:rPr>
        <w:t>.</w:t>
      </w:r>
    </w:p>
    <w:p w14:paraId="48AE78C3" w14:textId="77777777" w:rsidR="00FD7DB7" w:rsidRDefault="00FD7DB7" w:rsidP="001C4485">
      <w:pPr>
        <w:spacing w:after="120"/>
        <w:jc w:val="both"/>
        <w:rPr>
          <w:rFonts w:ascii="Arial" w:hAnsi="Arial" w:cs="Arial"/>
          <w:bCs/>
          <w:sz w:val="20"/>
          <w:szCs w:val="20"/>
        </w:rPr>
      </w:pPr>
      <w:r>
        <w:rPr>
          <w:rFonts w:ascii="Arial" w:hAnsi="Arial" w:cs="Arial"/>
          <w:bCs/>
          <w:sz w:val="20"/>
          <w:szCs w:val="20"/>
        </w:rPr>
        <w:t xml:space="preserve">Dati riepilogativi annuali sono inoltre diffusi (a livello regionale) nell'Annuario statistico italiano e Noi Italia. </w:t>
      </w:r>
    </w:p>
    <w:p w14:paraId="00D09FCC" w14:textId="77777777" w:rsidR="008357DD" w:rsidRDefault="008357DD" w:rsidP="001C4485">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Riferimenti normativi</w:t>
      </w:r>
    </w:p>
    <w:p w14:paraId="73370F07" w14:textId="77777777" w:rsidR="00FD7DB7" w:rsidRDefault="00FD7DB7" w:rsidP="001C4485">
      <w:pPr>
        <w:spacing w:after="120"/>
        <w:jc w:val="both"/>
        <w:outlineLvl w:val="2"/>
        <w:rPr>
          <w:rFonts w:ascii="Arial" w:hAnsi="Arial" w:cs="Arial"/>
          <w:sz w:val="20"/>
          <w:szCs w:val="20"/>
        </w:rPr>
      </w:pPr>
      <w:r>
        <w:rPr>
          <w:rFonts w:ascii="Arial" w:hAnsi="Arial" w:cs="Arial"/>
          <w:sz w:val="20"/>
          <w:szCs w:val="20"/>
        </w:rPr>
        <w:t xml:space="preserve">Legge n. 898 del 1° dicembre 1970 (Disciplina dei casi di scioglimento del matrimonio). La Legge, confermata con referendum popolare nel maggio 1974, è poi stata modificata, per la parte relativa ai provvedimenti economici in favore del coniuge più debole, dalla Legge n. 436 del 1° agosto 1978 e, per altri aspetti, dalla Legge n. 74 del 6 marzo 1987. </w:t>
      </w:r>
    </w:p>
    <w:p w14:paraId="22486A9E" w14:textId="10B029C1" w:rsidR="00FD7DB7" w:rsidRDefault="00FC445C" w:rsidP="001C4485">
      <w:pPr>
        <w:spacing w:after="120"/>
        <w:jc w:val="both"/>
        <w:outlineLvl w:val="2"/>
        <w:rPr>
          <w:rFonts w:ascii="Arial" w:hAnsi="Arial" w:cs="Arial"/>
          <w:sz w:val="20"/>
          <w:szCs w:val="20"/>
        </w:rPr>
      </w:pPr>
      <w:r>
        <w:rPr>
          <w:rFonts w:ascii="Arial" w:hAnsi="Arial" w:cs="Arial"/>
          <w:sz w:val="20"/>
          <w:szCs w:val="20"/>
        </w:rPr>
        <w:t>L</w:t>
      </w:r>
      <w:r w:rsidR="00FD7DB7">
        <w:rPr>
          <w:rFonts w:ascii="Arial" w:hAnsi="Arial" w:cs="Arial"/>
          <w:sz w:val="20"/>
          <w:szCs w:val="20"/>
        </w:rPr>
        <w:t xml:space="preserve">a </w:t>
      </w:r>
      <w:r>
        <w:rPr>
          <w:rFonts w:ascii="Arial" w:hAnsi="Arial" w:cs="Arial"/>
          <w:sz w:val="20"/>
          <w:szCs w:val="20"/>
        </w:rPr>
        <w:t>Legge n. 151 del 19 maggio 1975 (</w:t>
      </w:r>
      <w:r w:rsidR="00FD7DB7">
        <w:rPr>
          <w:rFonts w:ascii="Arial" w:hAnsi="Arial" w:cs="Arial"/>
          <w:sz w:val="20"/>
          <w:szCs w:val="20"/>
        </w:rPr>
        <w:t xml:space="preserve">legge di </w:t>
      </w:r>
      <w:r w:rsidR="00B11612">
        <w:rPr>
          <w:rFonts w:ascii="Arial" w:hAnsi="Arial" w:cs="Arial"/>
          <w:sz w:val="20"/>
          <w:szCs w:val="20"/>
        </w:rPr>
        <w:t>R</w:t>
      </w:r>
      <w:r>
        <w:rPr>
          <w:rFonts w:ascii="Arial" w:hAnsi="Arial" w:cs="Arial"/>
          <w:sz w:val="20"/>
          <w:szCs w:val="20"/>
        </w:rPr>
        <w:t>iforma sul diritto di famiglia</w:t>
      </w:r>
      <w:r w:rsidR="00FD7DB7">
        <w:rPr>
          <w:rFonts w:ascii="Arial" w:hAnsi="Arial" w:cs="Arial"/>
          <w:sz w:val="20"/>
          <w:szCs w:val="20"/>
        </w:rPr>
        <w:t xml:space="preserve">) ha profondamente innovato l’istituto della separazione giudiziale. </w:t>
      </w:r>
    </w:p>
    <w:p w14:paraId="4F2EF89A" w14:textId="64302FCF" w:rsidR="00FD7DB7" w:rsidRDefault="00FC445C" w:rsidP="001C4485">
      <w:pPr>
        <w:spacing w:after="120"/>
        <w:jc w:val="both"/>
        <w:outlineLvl w:val="2"/>
        <w:rPr>
          <w:rFonts w:ascii="Arial" w:hAnsi="Arial" w:cs="Arial"/>
          <w:sz w:val="20"/>
          <w:szCs w:val="20"/>
        </w:rPr>
      </w:pPr>
      <w:r>
        <w:rPr>
          <w:rFonts w:ascii="Arial" w:hAnsi="Arial" w:cs="Arial"/>
          <w:sz w:val="20"/>
          <w:szCs w:val="20"/>
        </w:rPr>
        <w:t>La Legge n. 74 del 1987 riduce</w:t>
      </w:r>
      <w:r w:rsidR="00FD7DB7">
        <w:rPr>
          <w:rFonts w:ascii="Arial" w:hAnsi="Arial" w:cs="Arial"/>
          <w:sz w:val="20"/>
          <w:szCs w:val="20"/>
        </w:rPr>
        <w:t xml:space="preserve"> il numero di anni di separazione necessari per la proposizione della domanda di divorzio da cinque a tre. </w:t>
      </w:r>
    </w:p>
    <w:p w14:paraId="5804178B" w14:textId="373D3369" w:rsidR="00FD7DB7" w:rsidRDefault="00FC445C" w:rsidP="001C4485">
      <w:pPr>
        <w:spacing w:after="120"/>
        <w:jc w:val="both"/>
        <w:outlineLvl w:val="2"/>
        <w:rPr>
          <w:rFonts w:ascii="Arial" w:hAnsi="Arial" w:cs="Arial"/>
          <w:sz w:val="20"/>
          <w:szCs w:val="20"/>
        </w:rPr>
      </w:pPr>
      <w:r>
        <w:rPr>
          <w:rFonts w:ascii="Arial" w:hAnsi="Arial" w:cs="Arial"/>
          <w:sz w:val="20"/>
          <w:szCs w:val="20"/>
        </w:rPr>
        <w:t xml:space="preserve">La Legge n. 54 dell’8 febbraio 2006 (in vigore dal 16 marzo 2006) ha stabilito che, nelle cause di separazione e divorzio, il giudice deve valutare prioritariamente la possibilità che i figli minori restino affidati a entrambi i genitori oppure stabilire a quale di essi affidarli, determinando i tempi e le modalità della loro presenza presso ciascun genitore. </w:t>
      </w:r>
    </w:p>
    <w:p w14:paraId="067D957A" w14:textId="6801733A" w:rsidR="00FC445C" w:rsidRDefault="00FC445C" w:rsidP="001C4485">
      <w:pPr>
        <w:spacing w:after="120"/>
        <w:jc w:val="both"/>
        <w:rPr>
          <w:rFonts w:ascii="Arial" w:hAnsi="Arial" w:cs="Arial"/>
          <w:sz w:val="20"/>
          <w:szCs w:val="20"/>
        </w:rPr>
      </w:pPr>
      <w:r>
        <w:rPr>
          <w:rFonts w:ascii="Arial" w:hAnsi="Arial" w:cs="Arial"/>
          <w:sz w:val="20"/>
          <w:szCs w:val="20"/>
        </w:rPr>
        <w:t xml:space="preserve">Decreto legge 132/2014 introduce </w:t>
      </w:r>
      <w:r w:rsidR="00FD7DB7">
        <w:rPr>
          <w:rFonts w:ascii="Arial" w:hAnsi="Arial" w:cs="Arial"/>
          <w:sz w:val="20"/>
          <w:szCs w:val="20"/>
        </w:rPr>
        <w:t>la modalità extra-giudiziale di separazione personale, di cessazione degli effetti civili o di scioglimento del matrimonio, di modifica delle condizioni</w:t>
      </w:r>
      <w:r>
        <w:rPr>
          <w:rFonts w:ascii="Arial" w:hAnsi="Arial" w:cs="Arial"/>
          <w:sz w:val="20"/>
          <w:szCs w:val="20"/>
        </w:rPr>
        <w:t xml:space="preserve"> di separazione o di divorzio attraverso: </w:t>
      </w:r>
      <w:r w:rsidR="00FD7DB7">
        <w:rPr>
          <w:rFonts w:ascii="Arial" w:hAnsi="Arial" w:cs="Arial"/>
          <w:sz w:val="20"/>
          <w:szCs w:val="20"/>
        </w:rPr>
        <w:t>convenzione di negoziazione assistita da almeno un avvocato per parte (ex art. 6); innanzi all’</w:t>
      </w:r>
      <w:r w:rsidR="00315EE7">
        <w:rPr>
          <w:rFonts w:ascii="Arial" w:hAnsi="Arial" w:cs="Arial"/>
          <w:sz w:val="20"/>
          <w:szCs w:val="20"/>
        </w:rPr>
        <w:t>U</w:t>
      </w:r>
      <w:r w:rsidR="00FD7DB7">
        <w:rPr>
          <w:rFonts w:ascii="Arial" w:hAnsi="Arial" w:cs="Arial"/>
          <w:sz w:val="20"/>
          <w:szCs w:val="20"/>
        </w:rPr>
        <w:t xml:space="preserve">fficiale di </w:t>
      </w:r>
      <w:r w:rsidR="00315EE7">
        <w:rPr>
          <w:rFonts w:ascii="Arial" w:hAnsi="Arial" w:cs="Arial"/>
          <w:sz w:val="20"/>
          <w:szCs w:val="20"/>
        </w:rPr>
        <w:t>S</w:t>
      </w:r>
      <w:r w:rsidR="00FD7DB7">
        <w:rPr>
          <w:rFonts w:ascii="Arial" w:hAnsi="Arial" w:cs="Arial"/>
          <w:sz w:val="20"/>
          <w:szCs w:val="20"/>
        </w:rPr>
        <w:t xml:space="preserve">tato </w:t>
      </w:r>
      <w:r w:rsidR="00315EE7">
        <w:rPr>
          <w:rFonts w:ascii="Arial" w:hAnsi="Arial" w:cs="Arial"/>
          <w:sz w:val="20"/>
          <w:szCs w:val="20"/>
        </w:rPr>
        <w:t>C</w:t>
      </w:r>
      <w:r w:rsidR="00FD7DB7">
        <w:rPr>
          <w:rFonts w:ascii="Arial" w:hAnsi="Arial" w:cs="Arial"/>
          <w:sz w:val="20"/>
          <w:szCs w:val="20"/>
        </w:rPr>
        <w:t>ivile in assenza di patti di trasferimento patrimoniale e di figli minori, di figli maggiorenni incapaci o portatori di handicap grave ai sensi dell'articolo 3, comma 3, della Legge 5 febbraio 1992, n. 104, ovvero economicamente non autosufficienti (ex art. 12).</w:t>
      </w:r>
    </w:p>
    <w:p w14:paraId="7117A094" w14:textId="371D27D2" w:rsidR="00FD7DB7" w:rsidRDefault="00FC445C" w:rsidP="001C4485">
      <w:pPr>
        <w:spacing w:after="120"/>
        <w:jc w:val="both"/>
        <w:rPr>
          <w:rFonts w:ascii="Arial" w:hAnsi="Arial" w:cs="Arial"/>
          <w:sz w:val="20"/>
          <w:szCs w:val="20"/>
        </w:rPr>
      </w:pPr>
      <w:r>
        <w:rPr>
          <w:rFonts w:ascii="Arial" w:hAnsi="Arial" w:cs="Arial"/>
          <w:sz w:val="20"/>
          <w:szCs w:val="20"/>
        </w:rPr>
        <w:t xml:space="preserve">Legge 6 maggio 2015, n. 55 (c. d. legge sul Divorzio breve), </w:t>
      </w:r>
      <w:r w:rsidR="00FD7DB7">
        <w:rPr>
          <w:rFonts w:ascii="Arial" w:hAnsi="Arial" w:cs="Arial"/>
          <w:sz w:val="20"/>
          <w:szCs w:val="20"/>
        </w:rPr>
        <w:t>pubblicata in Gazzetta Uffi</w:t>
      </w:r>
      <w:r>
        <w:rPr>
          <w:rFonts w:ascii="Arial" w:hAnsi="Arial" w:cs="Arial"/>
          <w:sz w:val="20"/>
          <w:szCs w:val="20"/>
        </w:rPr>
        <w:t xml:space="preserve">ciale 11 maggio 2015, n. 107, </w:t>
      </w:r>
      <w:r w:rsidR="00FD7DB7">
        <w:rPr>
          <w:rFonts w:ascii="Arial" w:hAnsi="Arial" w:cs="Arial"/>
          <w:sz w:val="20"/>
          <w:szCs w:val="20"/>
        </w:rPr>
        <w:t>interviene sulla disciplina della separazione e del divorzio, riducendo i tempi per la domanda di divorzio da tre anni a dodici mesi nel caso delle separazioni giudiziali e a sei mesi nel caso delle separazioni consensuali (anche in caso di trasformazione da giudiziale in consensuale).</w:t>
      </w:r>
    </w:p>
    <w:p w14:paraId="748D82D2" w14:textId="64315341" w:rsidR="00C70253" w:rsidRDefault="00C70253" w:rsidP="001C4485">
      <w:pPr>
        <w:spacing w:after="120"/>
        <w:jc w:val="both"/>
        <w:rPr>
          <w:rFonts w:ascii="Arial" w:hAnsi="Arial" w:cs="Arial"/>
          <w:sz w:val="20"/>
          <w:szCs w:val="20"/>
        </w:rPr>
      </w:pPr>
    </w:p>
    <w:p w14:paraId="5C58E331" w14:textId="7AEA7387" w:rsidR="00574FC2" w:rsidRDefault="00574FC2">
      <w:pPr>
        <w:rPr>
          <w:rFonts w:ascii="Arial" w:hAnsi="Arial" w:cs="Arial"/>
          <w:sz w:val="20"/>
          <w:szCs w:val="20"/>
        </w:rPr>
      </w:pPr>
      <w:r>
        <w:rPr>
          <w:rFonts w:ascii="Arial" w:hAnsi="Arial" w:cs="Arial"/>
          <w:sz w:val="20"/>
          <w:szCs w:val="20"/>
        </w:rPr>
        <w:br w:type="page"/>
      </w:r>
    </w:p>
    <w:p w14:paraId="0F5EF2E3" w14:textId="77777777" w:rsidR="00C70253" w:rsidRDefault="00C70253" w:rsidP="001C4485">
      <w:pPr>
        <w:spacing w:after="120"/>
        <w:jc w:val="both"/>
        <w:rPr>
          <w:rFonts w:ascii="Arial" w:hAnsi="Arial" w:cs="Arial"/>
          <w:sz w:val="20"/>
          <w:szCs w:val="20"/>
        </w:rPr>
      </w:pPr>
    </w:p>
    <w:p w14:paraId="5DA965EF" w14:textId="513E98BE" w:rsidR="00C70253" w:rsidRDefault="00B75F32" w:rsidP="000810FD">
      <w:pPr>
        <w:autoSpaceDE w:val="0"/>
        <w:autoSpaceDN w:val="0"/>
        <w:adjustRightInd w:val="0"/>
        <w:spacing w:after="120"/>
        <w:jc w:val="both"/>
        <w:outlineLvl w:val="0"/>
        <w:rPr>
          <w:rFonts w:ascii="Arial" w:hAnsi="Arial" w:cs="Arial"/>
          <w:sz w:val="20"/>
          <w:szCs w:val="20"/>
        </w:rPr>
      </w:pPr>
      <w:r w:rsidRPr="00146352">
        <w:rPr>
          <w:rFonts w:ascii="Georgia" w:hAnsi="Georgia" w:cs="Arial"/>
          <w:color w:val="1F497D"/>
          <w:sz w:val="48"/>
          <w:szCs w:val="48"/>
        </w:rPr>
        <w:t>Note</w:t>
      </w:r>
    </w:p>
    <w:p w14:paraId="54E86DB6" w14:textId="77777777" w:rsidR="0094530D" w:rsidRDefault="0094530D">
      <w:pPr>
        <w:spacing w:after="120"/>
        <w:jc w:val="both"/>
        <w:rPr>
          <w:rFonts w:ascii="Arial" w:hAnsi="Arial" w:cs="Arial"/>
          <w:sz w:val="20"/>
          <w:szCs w:val="20"/>
        </w:rPr>
      </w:pPr>
    </w:p>
    <w:sectPr w:rsidR="0094530D" w:rsidSect="002261D9">
      <w:footerReference w:type="default" r:id="rId40"/>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5F8FC" w14:textId="77777777" w:rsidR="005C0E71" w:rsidRDefault="005C0E71">
      <w:r>
        <w:separator/>
      </w:r>
    </w:p>
  </w:endnote>
  <w:endnote w:type="continuationSeparator" w:id="0">
    <w:p w14:paraId="2694730B" w14:textId="77777777" w:rsidR="005C0E71" w:rsidRDefault="005C0E71">
      <w:r>
        <w:continuationSeparator/>
      </w:r>
    </w:p>
  </w:endnote>
  <w:endnote w:id="1">
    <w:p w14:paraId="5D3E632E" w14:textId="77777777" w:rsidR="00155C7A" w:rsidRDefault="00155C7A" w:rsidP="00097291">
      <w:pPr>
        <w:pStyle w:val="Testonotadichiusura"/>
      </w:pPr>
      <w:r w:rsidRPr="00033568">
        <w:rPr>
          <w:rStyle w:val="Rimandonotadichiusura"/>
          <w:rFonts w:ascii="Arial" w:hAnsi="Arial" w:cs="Arial"/>
          <w:sz w:val="16"/>
          <w:szCs w:val="16"/>
        </w:rPr>
        <w:endnoteRef/>
      </w:r>
      <w:r>
        <w:rPr>
          <w:rFonts w:ascii="Arial" w:hAnsi="Arial" w:cs="Arial"/>
          <w:sz w:val="16"/>
          <w:szCs w:val="16"/>
        </w:rPr>
        <w:t xml:space="preserve"> </w:t>
      </w:r>
      <w:r w:rsidRPr="00E16DC4">
        <w:rPr>
          <w:rFonts w:ascii="Arial" w:hAnsi="Arial" w:cs="Arial"/>
          <w:sz w:val="16"/>
          <w:szCs w:val="16"/>
        </w:rPr>
        <w:t>Cfr. Istat, Rapporto annuale 20</w:t>
      </w:r>
      <w:r>
        <w:rPr>
          <w:rFonts w:ascii="Arial" w:hAnsi="Arial" w:cs="Arial"/>
          <w:sz w:val="16"/>
          <w:szCs w:val="16"/>
        </w:rPr>
        <w:t>21</w:t>
      </w:r>
      <w:r w:rsidRPr="00E16DC4">
        <w:rPr>
          <w:rFonts w:ascii="Arial" w:hAnsi="Arial" w:cs="Arial"/>
          <w:sz w:val="16"/>
          <w:szCs w:val="16"/>
        </w:rPr>
        <w:t>. La situazione del Paese</w:t>
      </w:r>
    </w:p>
  </w:endnote>
  <w:endnote w:id="2">
    <w:p w14:paraId="3C88D08C" w14:textId="77777777" w:rsidR="00155C7A" w:rsidRDefault="00155C7A" w:rsidP="000730AF">
      <w:pPr>
        <w:pStyle w:val="Testonotadichiusura"/>
        <w:jc w:val="both"/>
      </w:pPr>
      <w:r w:rsidRPr="00B649D2">
        <w:rPr>
          <w:rStyle w:val="Rimandonotadichiusura"/>
          <w:rFonts w:ascii="Arial" w:hAnsi="Arial" w:cs="Arial"/>
          <w:sz w:val="16"/>
          <w:szCs w:val="16"/>
        </w:rPr>
        <w:endnoteRef/>
      </w:r>
      <w:r w:rsidRPr="00B649D2">
        <w:rPr>
          <w:rFonts w:ascii="Arial" w:hAnsi="Arial" w:cs="Arial"/>
          <w:sz w:val="16"/>
          <w:szCs w:val="16"/>
        </w:rPr>
        <w:t xml:space="preserve"> </w:t>
      </w:r>
      <w:r w:rsidRPr="00E16DC4">
        <w:rPr>
          <w:rFonts w:ascii="Arial" w:hAnsi="Arial" w:cs="Arial"/>
          <w:sz w:val="16"/>
          <w:szCs w:val="16"/>
        </w:rPr>
        <w:t>Cfr. Istat, Indagine Aspetti della vita quotidiana. Anni vari</w:t>
      </w:r>
    </w:p>
  </w:endnote>
  <w:endnote w:id="3">
    <w:p w14:paraId="1C1B9B01" w14:textId="77777777" w:rsidR="00155C7A" w:rsidRDefault="00155C7A" w:rsidP="00F5771D">
      <w:pPr>
        <w:pStyle w:val="Testonotadichiusura"/>
        <w:jc w:val="both"/>
      </w:pPr>
      <w:r w:rsidRPr="00B649D2">
        <w:rPr>
          <w:rStyle w:val="Rimandonotadichiusura"/>
          <w:rFonts w:ascii="Arial" w:hAnsi="Arial" w:cs="Arial"/>
          <w:sz w:val="16"/>
          <w:szCs w:val="16"/>
        </w:rPr>
        <w:endnoteRef/>
      </w:r>
      <w:r>
        <w:t xml:space="preserve"> </w:t>
      </w:r>
      <w:r w:rsidRPr="00E16DC4">
        <w:rPr>
          <w:rFonts w:ascii="Arial" w:hAnsi="Arial" w:cs="Arial"/>
          <w:sz w:val="16"/>
          <w:szCs w:val="16"/>
        </w:rPr>
        <w:t xml:space="preserve">L’art. 1 comma 15 della </w:t>
      </w:r>
      <w:r>
        <w:rPr>
          <w:rFonts w:ascii="Arial" w:hAnsi="Arial" w:cs="Arial"/>
          <w:sz w:val="16"/>
          <w:szCs w:val="16"/>
        </w:rPr>
        <w:t>L</w:t>
      </w:r>
      <w:r w:rsidRPr="00E16DC4">
        <w:rPr>
          <w:rFonts w:ascii="Arial" w:hAnsi="Arial" w:cs="Arial"/>
          <w:sz w:val="16"/>
          <w:szCs w:val="16"/>
        </w:rPr>
        <w:t xml:space="preserve">egge n. 94 di Luglio 2009 ha modificato l’art. 116 CC. Scopo della riforma è quello di impedire la celebrazione di matrimoni di comodo. Questa regola si applica sia ai matrimoni misti sia a quelli con entrambi gli sposi stranieri. La Corte Costituzionale nel luglio 2011, con la sentenza n. 245/2011, ha ritenuto costituzionalmente illegittimo l’art. 116, comma 1, c.c., come modificato dall’art. 1, comma 15, della </w:t>
      </w:r>
      <w:r>
        <w:rPr>
          <w:rFonts w:ascii="Arial" w:hAnsi="Arial" w:cs="Arial"/>
          <w:sz w:val="16"/>
          <w:szCs w:val="16"/>
        </w:rPr>
        <w:t>L</w:t>
      </w:r>
      <w:r w:rsidRPr="00E16DC4">
        <w:rPr>
          <w:rFonts w:ascii="Arial" w:hAnsi="Arial" w:cs="Arial"/>
          <w:sz w:val="16"/>
          <w:szCs w:val="16"/>
        </w:rPr>
        <w:t>egge n. 94 del 2009, limitatamente alle parole “nonché un documento attestante la regolarità del soggiorno nel territorio italiano”, poiché il divieto generale di celebrare il matrimonio dello straniero non regolarmente soggiornante in Italia rappresenta uno strumento sproporzionato, irragionevolmente lesivo del diritto fondamentale di ogni essere umano di contrarre matrimonio.</w:t>
      </w:r>
    </w:p>
  </w:endnote>
  <w:endnote w:id="4">
    <w:p w14:paraId="376AA51D" w14:textId="77777777" w:rsidR="00155C7A" w:rsidRDefault="00155C7A" w:rsidP="00DE4BC2">
      <w:pPr>
        <w:pStyle w:val="Testonotadichiusura"/>
        <w:jc w:val="both"/>
      </w:pPr>
      <w:r w:rsidRPr="00772441">
        <w:rPr>
          <w:rStyle w:val="Rimandonotadichiusura"/>
          <w:rFonts w:ascii="Arial" w:hAnsi="Arial" w:cs="Arial"/>
          <w:sz w:val="16"/>
          <w:szCs w:val="16"/>
        </w:rPr>
        <w:endnoteRef/>
      </w:r>
      <w:r>
        <w:t xml:space="preserve"> </w:t>
      </w:r>
      <w:r w:rsidRPr="00E16DC4">
        <w:rPr>
          <w:rFonts w:ascii="Arial" w:hAnsi="Arial" w:cs="Arial"/>
          <w:sz w:val="16"/>
          <w:szCs w:val="16"/>
        </w:rPr>
        <w:t>I matrimoni successivi al primo avvengono quasi sempre con il rito civile; possono infatti essere celebrati con rito religioso solo quelli in cui il primo matrimonio era stato celebrato in Comune e quelli in cui, oltre all’annullamento degli effetti civili, si è ottenuto</w:t>
      </w:r>
      <w:r>
        <w:rPr>
          <w:rFonts w:ascii="Arial" w:hAnsi="Arial" w:cs="Arial"/>
          <w:sz w:val="16"/>
          <w:szCs w:val="16"/>
        </w:rPr>
        <w:t xml:space="preserve"> anche</w:t>
      </w:r>
      <w:r w:rsidRPr="00E16DC4">
        <w:rPr>
          <w:rFonts w:ascii="Arial" w:hAnsi="Arial" w:cs="Arial"/>
          <w:sz w:val="16"/>
          <w:szCs w:val="16"/>
        </w:rPr>
        <w:t xml:space="preserve"> l’annullamento religioso del matrimonio.</w:t>
      </w:r>
    </w:p>
  </w:endnote>
  <w:endnote w:id="5">
    <w:p w14:paraId="6E330C0E" w14:textId="77777777" w:rsidR="00155C7A" w:rsidRPr="00E16DC4" w:rsidRDefault="00155C7A" w:rsidP="002F3F9D">
      <w:pPr>
        <w:pStyle w:val="Testonotadichiusura"/>
        <w:jc w:val="both"/>
        <w:rPr>
          <w:rFonts w:ascii="Arial" w:hAnsi="Arial" w:cs="Arial"/>
          <w:sz w:val="16"/>
          <w:szCs w:val="16"/>
        </w:rPr>
      </w:pPr>
      <w:r w:rsidRPr="00E16DC4">
        <w:rPr>
          <w:rStyle w:val="Rimandonotadichiusura"/>
          <w:rFonts w:ascii="Arial" w:hAnsi="Arial" w:cs="Arial"/>
          <w:sz w:val="16"/>
          <w:szCs w:val="16"/>
        </w:rPr>
        <w:endnoteRef/>
      </w:r>
      <w:r w:rsidRPr="00E16DC4">
        <w:rPr>
          <w:rFonts w:ascii="Arial" w:hAnsi="Arial" w:cs="Arial"/>
          <w:sz w:val="16"/>
          <w:szCs w:val="16"/>
        </w:rPr>
        <w:t xml:space="preserve"> Cfr. Istat, Rapporto annuale 2016. La situazione del Paese</w:t>
      </w:r>
    </w:p>
  </w:endnote>
  <w:endnote w:id="6">
    <w:p w14:paraId="63907DB4" w14:textId="33A0F58B" w:rsidR="00155C7A" w:rsidRPr="00E16DC4" w:rsidRDefault="00155C7A" w:rsidP="002F3F9D">
      <w:pPr>
        <w:pStyle w:val="Testonotadichiusura"/>
        <w:jc w:val="both"/>
        <w:rPr>
          <w:rFonts w:ascii="Arial" w:hAnsi="Arial" w:cs="Arial"/>
          <w:sz w:val="16"/>
          <w:szCs w:val="16"/>
        </w:rPr>
      </w:pPr>
      <w:r w:rsidRPr="00E16DC4">
        <w:rPr>
          <w:rStyle w:val="Rimandonotadichiusura"/>
          <w:rFonts w:ascii="Arial" w:hAnsi="Arial" w:cs="Arial"/>
          <w:sz w:val="16"/>
          <w:szCs w:val="16"/>
        </w:rPr>
        <w:endnoteRef/>
      </w:r>
      <w:r w:rsidRPr="00E16DC4">
        <w:rPr>
          <w:rFonts w:ascii="Arial" w:hAnsi="Arial" w:cs="Arial"/>
          <w:sz w:val="16"/>
          <w:szCs w:val="16"/>
        </w:rPr>
        <w:t xml:space="preserve"> La disciplina delle unioni civili è sancita dalla Legge 20 maggio 2016, n. 76 sulla “Regolamentazione delle unioni civili tra persone dello stesso sesso e disciplina delle convivenze”, entrata in vigore il 5 giugno 2016, e all’entrata in vigore del D.P.C.M 23 luglio 2016, n. 144 “Regolamento recante disposizioni transitorie necessarie per la tenuta dei registri dell’archivio nello stato civile, ai sensi dell’articolo 1, comma 34, della </w:t>
      </w:r>
      <w:r>
        <w:rPr>
          <w:rFonts w:ascii="Arial" w:hAnsi="Arial" w:cs="Arial"/>
          <w:sz w:val="16"/>
          <w:szCs w:val="16"/>
        </w:rPr>
        <w:t>L</w:t>
      </w:r>
      <w:r w:rsidRPr="00E16DC4">
        <w:rPr>
          <w:rFonts w:ascii="Arial" w:hAnsi="Arial" w:cs="Arial"/>
          <w:sz w:val="16"/>
          <w:szCs w:val="16"/>
        </w:rPr>
        <w:t>egge 20 maggio 2016, n.76”.</w:t>
      </w:r>
      <w:r>
        <w:rPr>
          <w:rFonts w:ascii="Arial" w:hAnsi="Arial" w:cs="Arial"/>
          <w:sz w:val="16"/>
          <w:szCs w:val="16"/>
        </w:rPr>
        <w:t xml:space="preserve"> </w:t>
      </w:r>
      <w:r w:rsidRPr="00E16DC4">
        <w:rPr>
          <w:rFonts w:ascii="Arial" w:hAnsi="Arial" w:cs="Arial"/>
          <w:sz w:val="16"/>
          <w:szCs w:val="16"/>
        </w:rPr>
        <w:t>Hanno fatto seguito i decreti attuativi (</w:t>
      </w:r>
      <w:r>
        <w:rPr>
          <w:rFonts w:ascii="Arial" w:hAnsi="Arial" w:cs="Arial"/>
          <w:sz w:val="16"/>
          <w:szCs w:val="16"/>
        </w:rPr>
        <w:t>D</w:t>
      </w:r>
      <w:r w:rsidRPr="00E16DC4">
        <w:rPr>
          <w:rFonts w:ascii="Arial" w:hAnsi="Arial" w:cs="Arial"/>
          <w:sz w:val="16"/>
          <w:szCs w:val="16"/>
        </w:rPr>
        <w:t xml:space="preserve">ecreti legislativi n. 5,6 e 7 del 19 gennaio 2017). </w:t>
      </w:r>
    </w:p>
  </w:endnote>
  <w:endnote w:id="7">
    <w:p w14:paraId="420FEB8F" w14:textId="23C2115F" w:rsidR="00155C7A" w:rsidRPr="008E5E16" w:rsidRDefault="00155C7A" w:rsidP="002F3F9D">
      <w:pPr>
        <w:pStyle w:val="Testonotadichiusura"/>
        <w:jc w:val="both"/>
        <w:rPr>
          <w:rFonts w:ascii="Arial" w:hAnsi="Arial" w:cs="Arial"/>
          <w:sz w:val="16"/>
          <w:szCs w:val="16"/>
        </w:rPr>
      </w:pPr>
      <w:r w:rsidRPr="007D698B">
        <w:rPr>
          <w:rStyle w:val="Rimandonotadichiusura"/>
          <w:rFonts w:ascii="Arial" w:hAnsi="Arial" w:cs="Arial"/>
          <w:sz w:val="16"/>
          <w:szCs w:val="16"/>
        </w:rPr>
        <w:endnoteRef/>
      </w:r>
      <w:r w:rsidRPr="007D698B">
        <w:rPr>
          <w:rStyle w:val="Rimandonotadichiusura"/>
          <w:rFonts w:ascii="Arial" w:hAnsi="Arial" w:cs="Arial"/>
          <w:sz w:val="16"/>
          <w:szCs w:val="16"/>
        </w:rPr>
        <w:t xml:space="preserve"> </w:t>
      </w:r>
      <w:r w:rsidRPr="00E16DC4">
        <w:rPr>
          <w:rFonts w:ascii="Arial" w:hAnsi="Arial" w:cs="Arial"/>
          <w:sz w:val="16"/>
          <w:szCs w:val="16"/>
        </w:rPr>
        <w:t>Cfr. Istat, Statistiche Report, Popolazione residente per stato civile. Anno 2018.</w:t>
      </w:r>
    </w:p>
  </w:endnote>
  <w:endnote w:id="8">
    <w:p w14:paraId="0C5E42B6" w14:textId="4A20124F" w:rsidR="00155C7A" w:rsidRPr="005E3BEE" w:rsidRDefault="00155C7A" w:rsidP="002F3F9D">
      <w:pPr>
        <w:pStyle w:val="Testonotadichiusura"/>
        <w:jc w:val="both"/>
        <w:rPr>
          <w:rFonts w:ascii="Arial" w:hAnsi="Arial" w:cs="Arial"/>
          <w:sz w:val="16"/>
          <w:szCs w:val="16"/>
        </w:rPr>
      </w:pPr>
      <w:r w:rsidRPr="005E3BEE">
        <w:rPr>
          <w:rStyle w:val="Rimandonotadichiusura"/>
          <w:rFonts w:ascii="Arial" w:hAnsi="Arial" w:cs="Arial"/>
          <w:sz w:val="16"/>
          <w:szCs w:val="16"/>
        </w:rPr>
        <w:endnoteRef/>
      </w:r>
      <w:r w:rsidRPr="005E3BEE">
        <w:rPr>
          <w:rFonts w:ascii="Arial" w:hAnsi="Arial" w:cs="Arial"/>
          <w:sz w:val="16"/>
          <w:szCs w:val="16"/>
        </w:rPr>
        <w:t xml:space="preserve"> I dati riferiti ai matrimoni per rito e </w:t>
      </w:r>
      <w:r>
        <w:rPr>
          <w:rFonts w:ascii="Arial" w:hAnsi="Arial" w:cs="Arial"/>
          <w:sz w:val="16"/>
          <w:szCs w:val="16"/>
        </w:rPr>
        <w:t xml:space="preserve">alle </w:t>
      </w:r>
      <w:r w:rsidRPr="005E3BEE">
        <w:rPr>
          <w:rFonts w:ascii="Arial" w:hAnsi="Arial" w:cs="Arial"/>
          <w:sz w:val="16"/>
          <w:szCs w:val="16"/>
        </w:rPr>
        <w:t xml:space="preserve">unioni civili del 2021 (primi 9 mesi) provengono </w:t>
      </w:r>
      <w:r>
        <w:rPr>
          <w:rFonts w:ascii="Arial" w:hAnsi="Arial" w:cs="Arial"/>
          <w:sz w:val="16"/>
          <w:szCs w:val="16"/>
        </w:rPr>
        <w:t xml:space="preserve">della </w:t>
      </w:r>
      <w:r w:rsidRPr="0051419B">
        <w:rPr>
          <w:rFonts w:ascii="Arial" w:hAnsi="Arial" w:cs="Arial"/>
          <w:sz w:val="16"/>
          <w:szCs w:val="16"/>
        </w:rPr>
        <w:t xml:space="preserve">Rilevazione degli eventi demografici di Stato Civile </w:t>
      </w:r>
      <w:r w:rsidRPr="005E3BEE">
        <w:rPr>
          <w:rFonts w:ascii="Arial" w:hAnsi="Arial" w:cs="Arial"/>
          <w:sz w:val="16"/>
          <w:szCs w:val="16"/>
        </w:rPr>
        <w:t>della popolazione presente e sono provvisori; l’analisi delle singole variabili è frutto delle stime provvisorie basate sulla Rilevazione dei matrimoni e delle Unioni civili.</w:t>
      </w:r>
    </w:p>
  </w:endnote>
  <w:endnote w:id="9">
    <w:p w14:paraId="7739A0B5" w14:textId="7D0F2A3E" w:rsidR="00155C7A" w:rsidRPr="00B81CCD" w:rsidRDefault="00155C7A" w:rsidP="00B81CCD">
      <w:pPr>
        <w:jc w:val="both"/>
        <w:outlineLvl w:val="0"/>
        <w:rPr>
          <w:rFonts w:ascii="Arial" w:hAnsi="Arial" w:cs="Arial"/>
          <w:sz w:val="16"/>
          <w:szCs w:val="16"/>
        </w:rPr>
      </w:pPr>
      <w:r w:rsidRPr="00B649D2">
        <w:rPr>
          <w:rStyle w:val="Rimandonotadichiusura"/>
          <w:rFonts w:ascii="Arial" w:hAnsi="Arial" w:cs="Arial"/>
          <w:sz w:val="16"/>
          <w:szCs w:val="16"/>
        </w:rPr>
        <w:endnoteRef/>
      </w:r>
      <w:r w:rsidRPr="00B649D2">
        <w:rPr>
          <w:rFonts w:ascii="Arial" w:hAnsi="Arial" w:cs="Arial"/>
          <w:sz w:val="16"/>
          <w:szCs w:val="16"/>
        </w:rPr>
        <w:t xml:space="preserve"> </w:t>
      </w:r>
      <w:r w:rsidRPr="00B81CCD">
        <w:rPr>
          <w:rFonts w:ascii="Arial" w:hAnsi="Arial" w:cs="Arial"/>
          <w:sz w:val="16"/>
          <w:szCs w:val="16"/>
        </w:rPr>
        <w:t>I dati dell’anno 2021 fanno riferimento a stime provvisorie basate sui primi nove mesi.</w:t>
      </w:r>
    </w:p>
  </w:endnote>
  <w:endnote w:id="10">
    <w:p w14:paraId="1A313358" w14:textId="2A6D0015" w:rsidR="00155C7A" w:rsidRPr="00FB7EE4" w:rsidRDefault="00155C7A" w:rsidP="00FB7EE4">
      <w:pPr>
        <w:pStyle w:val="Testonotadichiusura"/>
        <w:jc w:val="both"/>
        <w:rPr>
          <w:rStyle w:val="Rimandonotadichiusura"/>
          <w:rFonts w:ascii="Arial" w:hAnsi="Arial" w:cs="Arial"/>
          <w:sz w:val="16"/>
          <w:szCs w:val="16"/>
          <w:vertAlign w:val="baseline"/>
        </w:rPr>
      </w:pPr>
      <w:r w:rsidRPr="00B649D2">
        <w:rPr>
          <w:rStyle w:val="Rimandonotadichiusura"/>
          <w:rFonts w:ascii="Arial" w:hAnsi="Arial" w:cs="Arial"/>
          <w:sz w:val="16"/>
          <w:szCs w:val="16"/>
        </w:rPr>
        <w:endnoteRef/>
      </w:r>
      <w:r>
        <w:t xml:space="preserve"> </w:t>
      </w:r>
      <w:r w:rsidRPr="00E16DC4">
        <w:rPr>
          <w:rFonts w:ascii="Arial" w:hAnsi="Arial" w:cs="Arial"/>
          <w:sz w:val="16"/>
          <w:szCs w:val="16"/>
        </w:rPr>
        <w:t xml:space="preserve">Si tratta del </w:t>
      </w:r>
      <w:r>
        <w:rPr>
          <w:rFonts w:ascii="Arial" w:hAnsi="Arial" w:cs="Arial"/>
          <w:sz w:val="16"/>
          <w:szCs w:val="16"/>
        </w:rPr>
        <w:t>D</w:t>
      </w:r>
      <w:r w:rsidRPr="00E16DC4">
        <w:rPr>
          <w:rFonts w:ascii="Arial" w:hAnsi="Arial" w:cs="Arial"/>
          <w:sz w:val="16"/>
          <w:szCs w:val="16"/>
        </w:rPr>
        <w:t>ecreto</w:t>
      </w:r>
      <w:r>
        <w:rPr>
          <w:rFonts w:ascii="Arial" w:hAnsi="Arial" w:cs="Arial"/>
          <w:sz w:val="16"/>
          <w:szCs w:val="16"/>
        </w:rPr>
        <w:t xml:space="preserve"> </w:t>
      </w:r>
      <w:r w:rsidRPr="00E16DC4">
        <w:rPr>
          <w:rFonts w:ascii="Arial" w:hAnsi="Arial" w:cs="Arial"/>
          <w:sz w:val="16"/>
          <w:szCs w:val="16"/>
        </w:rPr>
        <w:t xml:space="preserve">legge 12 settembre 2014, n. 132 (convertito con modificazioni dalla </w:t>
      </w:r>
      <w:r>
        <w:rPr>
          <w:rFonts w:ascii="Arial" w:hAnsi="Arial" w:cs="Arial"/>
          <w:sz w:val="16"/>
          <w:szCs w:val="16"/>
        </w:rPr>
        <w:t>L</w:t>
      </w:r>
      <w:r w:rsidRPr="00E16DC4">
        <w:rPr>
          <w:rFonts w:ascii="Arial" w:hAnsi="Arial" w:cs="Arial"/>
          <w:sz w:val="16"/>
          <w:szCs w:val="16"/>
        </w:rPr>
        <w:t>egge 10 novembre 2014, n. 162) recante misure per la "degiuri</w:t>
      </w:r>
      <w:r>
        <w:rPr>
          <w:rFonts w:ascii="Arial" w:hAnsi="Arial" w:cs="Arial"/>
          <w:sz w:val="16"/>
          <w:szCs w:val="16"/>
        </w:rPr>
        <w:t>sdizionalizzazione" e della L</w:t>
      </w:r>
      <w:r w:rsidRPr="00E16DC4">
        <w:rPr>
          <w:rFonts w:ascii="Arial" w:hAnsi="Arial" w:cs="Arial"/>
          <w:sz w:val="16"/>
          <w:szCs w:val="16"/>
        </w:rPr>
        <w:t>egge 6 maggio 2015, n. 55 riguardante in modo specifico la materia del divorzio.</w:t>
      </w:r>
    </w:p>
  </w:endnote>
  <w:endnote w:id="11">
    <w:p w14:paraId="2371AACD" w14:textId="70F44E47" w:rsidR="00155C7A" w:rsidRDefault="00155C7A" w:rsidP="00FB7EE4">
      <w:pPr>
        <w:pStyle w:val="Testonotadichiusura"/>
        <w:jc w:val="both"/>
        <w:rPr>
          <w:rFonts w:ascii="Arial" w:hAnsi="Arial" w:cs="Arial"/>
          <w:sz w:val="16"/>
          <w:szCs w:val="16"/>
        </w:rPr>
      </w:pPr>
      <w:r w:rsidRPr="00FB7EE4">
        <w:rPr>
          <w:rStyle w:val="Rimandonotadichiusura"/>
          <w:rFonts w:ascii="Arial" w:hAnsi="Arial" w:cs="Arial"/>
          <w:sz w:val="16"/>
          <w:szCs w:val="16"/>
        </w:rPr>
        <w:endnoteRef/>
      </w:r>
      <w:r>
        <w:t xml:space="preserve"> </w:t>
      </w:r>
      <w:r w:rsidRPr="005E3BEE">
        <w:rPr>
          <w:rFonts w:ascii="Arial" w:hAnsi="Arial" w:cs="Arial"/>
          <w:sz w:val="16"/>
          <w:szCs w:val="16"/>
        </w:rPr>
        <w:t xml:space="preserve">I dati </w:t>
      </w:r>
      <w:r>
        <w:rPr>
          <w:rFonts w:ascii="Arial" w:hAnsi="Arial" w:cs="Arial"/>
          <w:sz w:val="16"/>
          <w:szCs w:val="16"/>
        </w:rPr>
        <w:t xml:space="preserve">2021 (primi 3 trimestri) </w:t>
      </w:r>
      <w:r w:rsidRPr="005E3BEE">
        <w:rPr>
          <w:rFonts w:ascii="Arial" w:hAnsi="Arial" w:cs="Arial"/>
          <w:sz w:val="16"/>
          <w:szCs w:val="16"/>
        </w:rPr>
        <w:t xml:space="preserve">riferiti </w:t>
      </w:r>
      <w:r>
        <w:rPr>
          <w:rFonts w:ascii="Arial" w:hAnsi="Arial" w:cs="Arial"/>
          <w:sz w:val="16"/>
          <w:szCs w:val="16"/>
        </w:rPr>
        <w:t xml:space="preserve">alle separazioni e ai divorzi presso i Tribunali provengono dai </w:t>
      </w:r>
      <w:r w:rsidRPr="007E3BB1">
        <w:rPr>
          <w:rFonts w:ascii="Arial" w:hAnsi="Arial" w:cs="Arial"/>
          <w:sz w:val="16"/>
          <w:szCs w:val="16"/>
        </w:rPr>
        <w:t>dati riepilogativi del Ministero della Giustizia - Dipartimento dell'Organizzazione Giudiziaria del Personale e dei Servizi - Direzione Generale di Statist</w:t>
      </w:r>
      <w:r>
        <w:rPr>
          <w:rFonts w:ascii="Arial" w:hAnsi="Arial" w:cs="Arial"/>
          <w:sz w:val="16"/>
          <w:szCs w:val="16"/>
        </w:rPr>
        <w:t xml:space="preserve">ica e Analisi organizzativa; tali dati </w:t>
      </w:r>
      <w:r w:rsidRPr="007E3BB1">
        <w:rPr>
          <w:rFonts w:ascii="Arial" w:hAnsi="Arial" w:cs="Arial"/>
          <w:sz w:val="16"/>
          <w:szCs w:val="16"/>
        </w:rPr>
        <w:t>consentono di poter disporre con maggiore tempestività dei dati a livello di singolo Tribunale delle separazioni e dei divorzi per rito di esaurimento (consensuali o giudiziali).</w:t>
      </w:r>
      <w:r>
        <w:rPr>
          <w:rFonts w:ascii="Arial" w:hAnsi="Arial" w:cs="Arial"/>
          <w:sz w:val="16"/>
          <w:szCs w:val="16"/>
        </w:rPr>
        <w:t xml:space="preserve"> I dati 2021 delle separazioni e dei divorzi extragiudiziali sono frutto di</w:t>
      </w:r>
      <w:r w:rsidRPr="005E3BEE">
        <w:rPr>
          <w:rFonts w:ascii="Arial" w:hAnsi="Arial" w:cs="Arial"/>
          <w:sz w:val="16"/>
          <w:szCs w:val="16"/>
        </w:rPr>
        <w:t xml:space="preserve"> stime provvisorie basate sulla </w:t>
      </w:r>
      <w:r>
        <w:rPr>
          <w:rFonts w:ascii="Arial" w:hAnsi="Arial" w:cs="Arial"/>
          <w:sz w:val="16"/>
          <w:szCs w:val="16"/>
        </w:rPr>
        <w:t xml:space="preserve">prime risultanze della </w:t>
      </w:r>
      <w:r w:rsidRPr="005E3BEE">
        <w:rPr>
          <w:rFonts w:ascii="Arial" w:hAnsi="Arial" w:cs="Arial"/>
          <w:sz w:val="16"/>
          <w:szCs w:val="16"/>
        </w:rPr>
        <w:t xml:space="preserve">Rilevazione </w:t>
      </w:r>
      <w:r>
        <w:rPr>
          <w:rFonts w:ascii="Arial" w:hAnsi="Arial" w:cs="Arial"/>
          <w:sz w:val="16"/>
          <w:szCs w:val="16"/>
        </w:rPr>
        <w:t>degli accordi extragiudiziali presso gli Uffici di Stato Civile.</w:t>
      </w:r>
    </w:p>
    <w:p w14:paraId="676BF460" w14:textId="057D3A75" w:rsidR="00155C7A" w:rsidRDefault="00155C7A" w:rsidP="00FB7EE4">
      <w:pPr>
        <w:pStyle w:val="Testonotadichiusura"/>
        <w:jc w:val="both"/>
        <w:rPr>
          <w:rFonts w:ascii="Arial" w:hAnsi="Arial" w:cs="Arial"/>
          <w:sz w:val="16"/>
          <w:szCs w:val="16"/>
        </w:rPr>
      </w:pPr>
    </w:p>
    <w:p w14:paraId="3038400B" w14:textId="2B3FBBE1" w:rsidR="00155C7A" w:rsidRDefault="00155C7A" w:rsidP="00FB7EE4">
      <w:pPr>
        <w:pStyle w:val="Testonotadichiusura"/>
        <w:jc w:val="both"/>
        <w:rPr>
          <w:rFonts w:ascii="Arial" w:hAnsi="Arial" w:cs="Arial"/>
          <w:sz w:val="16"/>
          <w:szCs w:val="16"/>
        </w:rPr>
      </w:pPr>
    </w:p>
    <w:p w14:paraId="471780BA" w14:textId="0324D71D" w:rsidR="00155C7A" w:rsidRDefault="00155C7A" w:rsidP="00FB7EE4">
      <w:pPr>
        <w:pStyle w:val="Testonotadichiusura"/>
        <w:jc w:val="both"/>
        <w:rPr>
          <w:rFonts w:ascii="Arial" w:hAnsi="Arial" w:cs="Arial"/>
          <w:sz w:val="16"/>
          <w:szCs w:val="16"/>
        </w:rPr>
      </w:pPr>
    </w:p>
    <w:p w14:paraId="375D20DF" w14:textId="1BA180C2" w:rsidR="00155C7A" w:rsidRDefault="00155C7A" w:rsidP="00FB7EE4">
      <w:pPr>
        <w:pStyle w:val="Testonotadichiusura"/>
        <w:jc w:val="both"/>
        <w:rPr>
          <w:rFonts w:ascii="Arial" w:hAnsi="Arial" w:cs="Arial"/>
          <w:sz w:val="16"/>
          <w:szCs w:val="16"/>
        </w:rPr>
      </w:pPr>
    </w:p>
    <w:p w14:paraId="1DD5425C" w14:textId="2F955193" w:rsidR="00155C7A" w:rsidRDefault="00155C7A" w:rsidP="00FB7EE4">
      <w:pPr>
        <w:pStyle w:val="Testonotadichiusura"/>
        <w:jc w:val="both"/>
        <w:rPr>
          <w:rFonts w:ascii="Arial" w:hAnsi="Arial" w:cs="Arial"/>
          <w:sz w:val="16"/>
          <w:szCs w:val="16"/>
        </w:rPr>
      </w:pPr>
    </w:p>
    <w:p w14:paraId="53CB94EE" w14:textId="77777777" w:rsidR="00155C7A" w:rsidRDefault="00155C7A" w:rsidP="001C4485">
      <w:pPr>
        <w:spacing w:after="120"/>
        <w:jc w:val="both"/>
        <w:rPr>
          <w:rFonts w:ascii="Arial" w:hAnsi="Arial" w:cs="Arial"/>
          <w:sz w:val="20"/>
          <w:szCs w:val="20"/>
        </w:rPr>
      </w:pPr>
    </w:p>
    <w:p w14:paraId="441D4980" w14:textId="77777777" w:rsidR="00155C7A" w:rsidRPr="00566ED5" w:rsidRDefault="00155C7A" w:rsidP="001C4485">
      <w:pPr>
        <w:pStyle w:val="NormaleWeb"/>
        <w:spacing w:before="120" w:beforeAutospacing="0" w:after="120" w:afterAutospacing="0"/>
        <w:rPr>
          <w:rFonts w:ascii="Arial" w:hAnsi="Arial" w:cs="Arial"/>
          <w:color w:val="000000" w:themeColor="text1"/>
          <w:sz w:val="36"/>
          <w:szCs w:val="36"/>
        </w:rPr>
      </w:pPr>
      <w:r w:rsidRPr="00566ED5">
        <w:rPr>
          <w:rFonts w:ascii="Georgia" w:hAnsi="Georgia"/>
          <w:bCs/>
          <w:color w:val="1F497D" w:themeColor="text2"/>
          <w:sz w:val="36"/>
          <w:szCs w:val="36"/>
        </w:rPr>
        <w:t>Per chiarimenti tecnici e metodologici</w:t>
      </w:r>
    </w:p>
    <w:tbl>
      <w:tblPr>
        <w:tblStyle w:val="Grigliatabella"/>
        <w:tblW w:w="9923" w:type="dxa"/>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155C7A" w14:paraId="11C4F941" w14:textId="77777777" w:rsidTr="00E54FAB">
        <w:tc>
          <w:tcPr>
            <w:tcW w:w="4961" w:type="dxa"/>
          </w:tcPr>
          <w:p w14:paraId="32998194" w14:textId="77777777" w:rsidR="00155C7A" w:rsidRDefault="00155C7A" w:rsidP="001C4485">
            <w:pPr>
              <w:pStyle w:val="NormaleWeb"/>
              <w:spacing w:before="0" w:beforeAutospacing="0" w:after="120" w:afterAutospacing="0"/>
              <w:rPr>
                <w:rFonts w:ascii="Arial" w:hAnsi="Arial" w:cs="Arial"/>
                <w:b/>
                <w:bCs/>
                <w:color w:val="1F497D"/>
                <w:sz w:val="22"/>
                <w:szCs w:val="22"/>
              </w:rPr>
            </w:pPr>
          </w:p>
          <w:p w14:paraId="460CC895" w14:textId="77777777" w:rsidR="00155C7A" w:rsidRDefault="00155C7A" w:rsidP="001C4485">
            <w:pPr>
              <w:pStyle w:val="NormaleWeb"/>
              <w:spacing w:before="0" w:beforeAutospacing="0" w:after="0" w:afterAutospacing="0"/>
              <w:rPr>
                <w:rFonts w:ascii="Arial" w:hAnsi="Arial" w:cs="Arial"/>
                <w:b/>
                <w:bCs/>
                <w:color w:val="1F497D"/>
                <w:sz w:val="22"/>
                <w:szCs w:val="22"/>
              </w:rPr>
            </w:pPr>
            <w:r w:rsidRPr="002027BD">
              <w:rPr>
                <w:rFonts w:ascii="Arial" w:hAnsi="Arial" w:cs="Arial"/>
                <w:b/>
                <w:bCs/>
                <w:color w:val="1F497D"/>
                <w:sz w:val="22"/>
                <w:szCs w:val="22"/>
              </w:rPr>
              <w:t>Antonella Guarneri</w:t>
            </w:r>
          </w:p>
          <w:p w14:paraId="7377D058" w14:textId="77777777" w:rsidR="00155C7A" w:rsidRDefault="00096AB9" w:rsidP="001C4485">
            <w:pPr>
              <w:pStyle w:val="NormaleWeb"/>
              <w:spacing w:before="0" w:beforeAutospacing="0" w:after="0" w:afterAutospacing="0"/>
              <w:rPr>
                <w:rFonts w:ascii="Arial" w:hAnsi="Arial" w:cs="Arial"/>
                <w:color w:val="1F497D"/>
                <w:sz w:val="22"/>
                <w:szCs w:val="22"/>
              </w:rPr>
            </w:pPr>
            <w:hyperlink r:id="rId1" w:history="1">
              <w:r w:rsidR="00155C7A" w:rsidRPr="002027BD">
                <w:rPr>
                  <w:rStyle w:val="Collegamentoipertestuale"/>
                  <w:rFonts w:ascii="Arial" w:hAnsi="Arial" w:cs="Arial"/>
                  <w:sz w:val="22"/>
                  <w:szCs w:val="22"/>
                </w:rPr>
                <w:t>guarneri@istat.it</w:t>
              </w:r>
            </w:hyperlink>
          </w:p>
          <w:p w14:paraId="5680C677" w14:textId="77777777" w:rsidR="00155C7A" w:rsidRDefault="00155C7A" w:rsidP="001C4485">
            <w:pPr>
              <w:pStyle w:val="NormaleWeb"/>
              <w:spacing w:before="0" w:beforeAutospacing="0" w:after="0" w:afterAutospacing="0"/>
              <w:rPr>
                <w:rFonts w:ascii="Arial" w:hAnsi="Arial" w:cs="Arial"/>
                <w:bCs/>
                <w:sz w:val="20"/>
                <w:szCs w:val="20"/>
              </w:rPr>
            </w:pPr>
          </w:p>
        </w:tc>
        <w:tc>
          <w:tcPr>
            <w:tcW w:w="4962" w:type="dxa"/>
          </w:tcPr>
          <w:p w14:paraId="254A9EDF" w14:textId="77777777" w:rsidR="00155C7A" w:rsidRDefault="00155C7A" w:rsidP="001C4485">
            <w:pPr>
              <w:pStyle w:val="NormaleWeb"/>
              <w:spacing w:before="0" w:beforeAutospacing="0" w:after="120" w:afterAutospacing="0"/>
              <w:rPr>
                <w:rFonts w:ascii="Arial" w:hAnsi="Arial" w:cs="Arial"/>
                <w:b/>
                <w:bCs/>
                <w:color w:val="1F497D"/>
                <w:sz w:val="22"/>
                <w:szCs w:val="22"/>
              </w:rPr>
            </w:pPr>
          </w:p>
          <w:p w14:paraId="3ABD8A1C" w14:textId="77777777" w:rsidR="00155C7A" w:rsidRDefault="00155C7A" w:rsidP="001C4485">
            <w:pPr>
              <w:autoSpaceDE w:val="0"/>
              <w:autoSpaceDN w:val="0"/>
              <w:adjustRightInd w:val="0"/>
              <w:jc w:val="both"/>
              <w:rPr>
                <w:rFonts w:ascii="Arial" w:hAnsi="Arial" w:cs="Arial"/>
                <w:b/>
                <w:bCs/>
                <w:color w:val="1F497D"/>
                <w:sz w:val="22"/>
                <w:szCs w:val="22"/>
              </w:rPr>
            </w:pPr>
            <w:r w:rsidRPr="002027BD">
              <w:rPr>
                <w:rFonts w:ascii="Arial" w:hAnsi="Arial" w:cs="Arial"/>
                <w:b/>
                <w:bCs/>
                <w:color w:val="1F497D"/>
                <w:sz w:val="22"/>
                <w:szCs w:val="22"/>
              </w:rPr>
              <w:t>Cinzia Castagnaro</w:t>
            </w:r>
          </w:p>
          <w:p w14:paraId="14681763" w14:textId="77777777" w:rsidR="00155C7A" w:rsidRDefault="00096AB9" w:rsidP="001C4485">
            <w:pPr>
              <w:autoSpaceDE w:val="0"/>
              <w:autoSpaceDN w:val="0"/>
              <w:adjustRightInd w:val="0"/>
              <w:spacing w:after="120"/>
              <w:jc w:val="both"/>
              <w:rPr>
                <w:rFonts w:ascii="Arial" w:hAnsi="Arial" w:cs="Arial"/>
                <w:color w:val="1F497D"/>
                <w:sz w:val="22"/>
                <w:szCs w:val="22"/>
              </w:rPr>
            </w:pPr>
            <w:hyperlink r:id="rId2" w:history="1">
              <w:r w:rsidR="00155C7A" w:rsidRPr="00F5252C">
                <w:rPr>
                  <w:rStyle w:val="Collegamentoipertestuale"/>
                  <w:rFonts w:ascii="Arial" w:hAnsi="Arial" w:cs="Arial"/>
                  <w:sz w:val="22"/>
                  <w:szCs w:val="22"/>
                </w:rPr>
                <w:t>cicastag@istat.it</w:t>
              </w:r>
            </w:hyperlink>
          </w:p>
          <w:p w14:paraId="7855E1D1" w14:textId="77777777" w:rsidR="00155C7A" w:rsidRDefault="00155C7A" w:rsidP="001C4485">
            <w:pPr>
              <w:autoSpaceDE w:val="0"/>
              <w:autoSpaceDN w:val="0"/>
              <w:adjustRightInd w:val="0"/>
              <w:spacing w:after="120"/>
              <w:jc w:val="both"/>
              <w:rPr>
                <w:rFonts w:ascii="Arial" w:hAnsi="Arial" w:cs="Arial"/>
                <w:bCs/>
                <w:sz w:val="20"/>
                <w:szCs w:val="20"/>
              </w:rPr>
            </w:pPr>
          </w:p>
        </w:tc>
      </w:tr>
    </w:tbl>
    <w:p w14:paraId="0E672FAD" w14:textId="77777777" w:rsidR="00155C7A" w:rsidRPr="00FB7EE4" w:rsidRDefault="00155C7A" w:rsidP="00FB7EE4">
      <w:pPr>
        <w:pStyle w:val="Testonotadichiusura"/>
        <w:jc w:val="both"/>
        <w:rPr>
          <w:rFonts w:ascii="Arial" w:hAnsi="Arial" w:cs="Arial"/>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21498" w14:textId="77777777" w:rsidR="00155C7A" w:rsidRDefault="00155C7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05CDC4B" w14:textId="77777777" w:rsidR="00155C7A" w:rsidRDefault="00155C7A">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220085"/>
      <w:docPartObj>
        <w:docPartGallery w:val="Page Numbers (Bottom of Page)"/>
        <w:docPartUnique/>
      </w:docPartObj>
    </w:sdtPr>
    <w:sdtEndPr/>
    <w:sdtContent>
      <w:p w14:paraId="3EE31372" w14:textId="2BE86B48" w:rsidR="00155C7A" w:rsidRDefault="00155C7A">
        <w:pPr>
          <w:pStyle w:val="Pidipagina"/>
        </w:pPr>
        <w:r>
          <w:fldChar w:fldCharType="begin"/>
        </w:r>
        <w:r>
          <w:instrText>PAGE   \* MERGEFORMAT</w:instrText>
        </w:r>
        <w:r>
          <w:fldChar w:fldCharType="separate"/>
        </w:r>
        <w:r w:rsidR="000810FD">
          <w:rPr>
            <w:noProof/>
          </w:rPr>
          <w:t>2</w:t>
        </w:r>
        <w:r>
          <w:fldChar w:fldCharType="end"/>
        </w:r>
      </w:p>
    </w:sdtContent>
  </w:sdt>
  <w:p w14:paraId="286DC52C" w14:textId="77777777" w:rsidR="00155C7A" w:rsidRDefault="00155C7A" w:rsidP="00842757">
    <w:pPr>
      <w:pStyle w:val="Pidipagina"/>
      <w:tabs>
        <w:tab w:val="clear" w:pos="4819"/>
        <w:tab w:val="clear" w:pos="9638"/>
        <w:tab w:val="left" w:pos="777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490A1" w14:textId="36FAB498" w:rsidR="00155C7A" w:rsidRPr="00C469C4" w:rsidRDefault="00155C7A" w:rsidP="00C469C4">
    <w:pPr>
      <w:pStyle w:val="Pidipagina"/>
      <w:ind w:left="-851"/>
      <w:rPr>
        <w:sz w:val="18"/>
      </w:rPr>
    </w:pPr>
    <w:r w:rsidRPr="008A33E0">
      <w:rPr>
        <w:noProof/>
        <w:sz w:val="18"/>
      </w:rPr>
      <mc:AlternateContent>
        <mc:Choice Requires="wps">
          <w:drawing>
            <wp:anchor distT="0" distB="0" distL="114300" distR="114300" simplePos="0" relativeHeight="251694592" behindDoc="0" locked="0" layoutInCell="1" allowOverlap="1" wp14:anchorId="4AEF0E33" wp14:editId="6BFB11C9">
              <wp:simplePos x="0" y="0"/>
              <wp:positionH relativeFrom="column">
                <wp:posOffset>-16510</wp:posOffset>
              </wp:positionH>
              <wp:positionV relativeFrom="paragraph">
                <wp:posOffset>645794</wp:posOffset>
              </wp:positionV>
              <wp:extent cx="3648883" cy="885825"/>
              <wp:effectExtent l="0" t="0" r="8890" b="9525"/>
              <wp:wrapNone/>
              <wp:docPr id="22" name="Casella di testo 22"/>
              <wp:cNvGraphicFramePr/>
              <a:graphic xmlns:a="http://schemas.openxmlformats.org/drawingml/2006/main">
                <a:graphicData uri="http://schemas.microsoft.com/office/word/2010/wordprocessingShape">
                  <wps:wsp>
                    <wps:cNvSpPr txBox="1"/>
                    <wps:spPr>
                      <a:xfrm>
                        <a:off x="0" y="0"/>
                        <a:ext cx="3648883" cy="885825"/>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155C7A" w:rsidRPr="00096AB9" w14:paraId="54062D8E" w14:textId="77777777" w:rsidTr="00126FF0">
                            <w:trPr>
                              <w:trHeight w:val="1195"/>
                            </w:trPr>
                            <w:tc>
                              <w:tcPr>
                                <w:tcW w:w="3544" w:type="dxa"/>
                              </w:tcPr>
                              <w:p w14:paraId="24019B13" w14:textId="77777777" w:rsidR="00155C7A" w:rsidRPr="004649F8" w:rsidRDefault="00155C7A" w:rsidP="00126FF0">
                                <w:pPr>
                                  <w:rPr>
                                    <w:rFonts w:ascii="Arial Narrow" w:hAnsi="Arial Narrow"/>
                                    <w:b/>
                                    <w:bCs/>
                                    <w:color w:val="1F497D"/>
                                  </w:rPr>
                                </w:pPr>
                                <w:r w:rsidRPr="004649F8">
                                  <w:rPr>
                                    <w:rFonts w:ascii="Arial Narrow" w:hAnsi="Arial Narrow"/>
                                    <w:b/>
                                    <w:bCs/>
                                    <w:color w:val="1F497D"/>
                                  </w:rPr>
                                  <w:t>UFFICIO STAMPA</w:t>
                                </w:r>
                              </w:p>
                              <w:p w14:paraId="6CA6EE66" w14:textId="77777777" w:rsidR="00155C7A" w:rsidRPr="004649F8" w:rsidRDefault="00155C7A" w:rsidP="00126FF0">
                                <w:pPr>
                                  <w:rPr>
                                    <w:rFonts w:ascii="Arial Narrow" w:hAnsi="Arial Narrow"/>
                                    <w:color w:val="1F497D"/>
                                  </w:rPr>
                                </w:pPr>
                                <w:r w:rsidRPr="004649F8">
                                  <w:rPr>
                                    <w:rFonts w:ascii="Arial Narrow" w:hAnsi="Arial Narrow"/>
                                    <w:color w:val="1F497D"/>
                                  </w:rPr>
                                  <w:t>tel. +39 06 4673.2243/44</w:t>
                                </w:r>
                              </w:p>
                              <w:p w14:paraId="5B14AD16" w14:textId="77777777" w:rsidR="00155C7A" w:rsidRPr="004649F8" w:rsidRDefault="00096AB9" w:rsidP="00126FF0">
                                <w:pPr>
                                  <w:rPr>
                                    <w:rFonts w:ascii="Arial Narrow" w:hAnsi="Arial Narrow"/>
                                    <w:color w:val="1F497D"/>
                                  </w:rPr>
                                </w:pPr>
                                <w:hyperlink r:id="rId1" w:history="1">
                                  <w:r w:rsidR="00155C7A" w:rsidRPr="002E68C4">
                                    <w:rPr>
                                      <w:rStyle w:val="Collegamentoipertestuale"/>
                                      <w:rFonts w:ascii="Arial Narrow" w:hAnsi="Arial Narrow"/>
                                      <w:color w:val="023859"/>
                                    </w:rPr>
                                    <w:t>ufficiostampa@istat.it</w:t>
                                  </w:r>
                                </w:hyperlink>
                              </w:p>
                            </w:tc>
                            <w:tc>
                              <w:tcPr>
                                <w:tcW w:w="2126" w:type="dxa"/>
                              </w:tcPr>
                              <w:p w14:paraId="4341081F" w14:textId="24346900" w:rsidR="00155C7A" w:rsidRPr="002E68C4" w:rsidRDefault="00155C7A" w:rsidP="00126FF0">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2" w:history="1">
                                  <w:r w:rsidRPr="002E68C4">
                                    <w:rPr>
                                      <w:rStyle w:val="Collegamentoipertestuale"/>
                                      <w:rFonts w:ascii="Arial Narrow" w:hAnsi="Arial Narrow"/>
                                      <w:color w:val="023859"/>
                                      <w:lang w:val="en-US"/>
                                    </w:rPr>
                                    <w:t>contact.istat.it</w:t>
                                  </w:r>
                                </w:hyperlink>
                              </w:p>
                              <w:p w14:paraId="30E17304" w14:textId="77777777" w:rsidR="00155C7A" w:rsidRPr="002E68C4" w:rsidRDefault="00155C7A" w:rsidP="00126FF0">
                                <w:pPr>
                                  <w:rPr>
                                    <w:rFonts w:ascii="Arial Narrow" w:hAnsi="Arial Narrow"/>
                                    <w:color w:val="1F497D"/>
                                    <w:lang w:val="en-US"/>
                                  </w:rPr>
                                </w:pPr>
                              </w:p>
                            </w:tc>
                          </w:tr>
                        </w:tbl>
                        <w:p w14:paraId="0C0E76E8" w14:textId="77777777" w:rsidR="00155C7A" w:rsidRPr="004649F8" w:rsidRDefault="00155C7A" w:rsidP="00495950">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0E33" id="_x0000_t202" coordsize="21600,21600" o:spt="202" path="m,l,21600r21600,l21600,xe">
              <v:stroke joinstyle="miter"/>
              <v:path gradientshapeok="t" o:connecttype="rect"/>
            </v:shapetype>
            <v:shape id="Casella di testo 22" o:spid="_x0000_s1027" type="#_x0000_t202" style="position:absolute;left:0;text-align:left;margin-left:-1.3pt;margin-top:50.85pt;width:287.3pt;height:6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" filled="f"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155C7A" w:rsidRPr="00096AB9" w14:paraId="54062D8E" w14:textId="77777777" w:rsidTr="00126FF0">
                      <w:trPr>
                        <w:trHeight w:val="1195"/>
                      </w:trPr>
                      <w:tc>
                        <w:tcPr>
                          <w:tcW w:w="3544" w:type="dxa"/>
                        </w:tcPr>
                        <w:p w14:paraId="24019B13" w14:textId="77777777" w:rsidR="00155C7A" w:rsidRPr="004649F8" w:rsidRDefault="00155C7A" w:rsidP="00126FF0">
                          <w:pPr>
                            <w:rPr>
                              <w:rFonts w:ascii="Arial Narrow" w:hAnsi="Arial Narrow"/>
                              <w:b/>
                              <w:bCs/>
                              <w:color w:val="1F497D"/>
                            </w:rPr>
                          </w:pPr>
                          <w:r w:rsidRPr="004649F8">
                            <w:rPr>
                              <w:rFonts w:ascii="Arial Narrow" w:hAnsi="Arial Narrow"/>
                              <w:b/>
                              <w:bCs/>
                              <w:color w:val="1F497D"/>
                            </w:rPr>
                            <w:t>UFFICIO STAMPA</w:t>
                          </w:r>
                        </w:p>
                        <w:p w14:paraId="6CA6EE66" w14:textId="77777777" w:rsidR="00155C7A" w:rsidRPr="004649F8" w:rsidRDefault="00155C7A" w:rsidP="00126FF0">
                          <w:pPr>
                            <w:rPr>
                              <w:rFonts w:ascii="Arial Narrow" w:hAnsi="Arial Narrow"/>
                              <w:color w:val="1F497D"/>
                            </w:rPr>
                          </w:pPr>
                          <w:r w:rsidRPr="004649F8">
                            <w:rPr>
                              <w:rFonts w:ascii="Arial Narrow" w:hAnsi="Arial Narrow"/>
                              <w:color w:val="1F497D"/>
                            </w:rPr>
                            <w:t>tel. +39 06 4673.2243/44</w:t>
                          </w:r>
                        </w:p>
                        <w:p w14:paraId="5B14AD16" w14:textId="77777777" w:rsidR="00155C7A" w:rsidRPr="004649F8" w:rsidRDefault="00096AB9" w:rsidP="00126FF0">
                          <w:pPr>
                            <w:rPr>
                              <w:rFonts w:ascii="Arial Narrow" w:hAnsi="Arial Narrow"/>
                              <w:color w:val="1F497D"/>
                            </w:rPr>
                          </w:pPr>
                          <w:hyperlink r:id="rId3" w:history="1">
                            <w:r w:rsidR="00155C7A" w:rsidRPr="002E68C4">
                              <w:rPr>
                                <w:rStyle w:val="Collegamentoipertestuale"/>
                                <w:rFonts w:ascii="Arial Narrow" w:hAnsi="Arial Narrow"/>
                                <w:color w:val="023859"/>
                              </w:rPr>
                              <w:t>ufficiostampa@istat.it</w:t>
                            </w:r>
                          </w:hyperlink>
                        </w:p>
                      </w:tc>
                      <w:tc>
                        <w:tcPr>
                          <w:tcW w:w="2126" w:type="dxa"/>
                        </w:tcPr>
                        <w:p w14:paraId="4341081F" w14:textId="24346900" w:rsidR="00155C7A" w:rsidRPr="002E68C4" w:rsidRDefault="00155C7A" w:rsidP="00126FF0">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t>tel. +39 06 4673.3102</w:t>
                          </w:r>
                          <w:r w:rsidRPr="002E68C4">
                            <w:rPr>
                              <w:rFonts w:ascii="Arial Narrow" w:hAnsi="Arial Narrow"/>
                              <w:color w:val="1F497D"/>
                              <w:lang w:val="en-US"/>
                            </w:rPr>
                            <w:br/>
                          </w:r>
                          <w:hyperlink r:id="rId4" w:history="1">
                            <w:r w:rsidRPr="002E68C4">
                              <w:rPr>
                                <w:rStyle w:val="Collegamentoipertestuale"/>
                                <w:rFonts w:ascii="Arial Narrow" w:hAnsi="Arial Narrow"/>
                                <w:color w:val="023859"/>
                                <w:lang w:val="en-US"/>
                              </w:rPr>
                              <w:t>contact.istat.it</w:t>
                            </w:r>
                          </w:hyperlink>
                        </w:p>
                        <w:p w14:paraId="30E17304" w14:textId="77777777" w:rsidR="00155C7A" w:rsidRPr="002E68C4" w:rsidRDefault="00155C7A" w:rsidP="00126FF0">
                          <w:pPr>
                            <w:rPr>
                              <w:rFonts w:ascii="Arial Narrow" w:hAnsi="Arial Narrow"/>
                              <w:color w:val="1F497D"/>
                              <w:lang w:val="en-US"/>
                            </w:rPr>
                          </w:pPr>
                        </w:p>
                      </w:tc>
                    </w:tr>
                  </w:tbl>
                  <w:p w14:paraId="0C0E76E8" w14:textId="77777777" w:rsidR="00155C7A" w:rsidRPr="004649F8" w:rsidRDefault="00155C7A" w:rsidP="00495950">
                    <w:pPr>
                      <w:rPr>
                        <w:rFonts w:ascii="Arial Narrow" w:hAnsi="Arial Narrow"/>
                        <w:color w:val="1F497D"/>
                        <w:lang w:val="en-US"/>
                      </w:rPr>
                    </w:pPr>
                  </w:p>
                </w:txbxContent>
              </v:textbox>
            </v:shape>
          </w:pict>
        </mc:Fallback>
      </mc:AlternateContent>
    </w:r>
    <w:r w:rsidRPr="008A33E0">
      <w:rPr>
        <w:noProof/>
        <w:sz w:val="18"/>
      </w:rPr>
      <w:drawing>
        <wp:inline distT="0" distB="0" distL="0" distR="0" wp14:anchorId="33FF9156" wp14:editId="5B82243D">
          <wp:extent cx="7534800" cy="16416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5"/>
                  <a:stretch>
                    <a:fillRect/>
                  </a:stretch>
                </pic:blipFill>
                <pic:spPr>
                  <a:xfrm>
                    <a:off x="0" y="0"/>
                    <a:ext cx="7534800" cy="16416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highlight w:val="lightGray"/>
      </w:rPr>
      <w:id w:val="-71812330"/>
      <w:docPartObj>
        <w:docPartGallery w:val="Page Numbers (Bottom of Page)"/>
        <w:docPartUnique/>
      </w:docPartObj>
    </w:sdtPr>
    <w:sdtEndPr/>
    <w:sdtContent>
      <w:p w14:paraId="5B86A738" w14:textId="77777777" w:rsidR="00155C7A" w:rsidRDefault="00155C7A">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85376" behindDoc="0" locked="0" layoutInCell="1" allowOverlap="1" wp14:anchorId="6D1CB235" wp14:editId="00ED7D90">
                  <wp:simplePos x="0" y="0"/>
                  <wp:positionH relativeFrom="column">
                    <wp:posOffset>-10160</wp:posOffset>
                  </wp:positionH>
                  <wp:positionV relativeFrom="paragraph">
                    <wp:posOffset>-2532381</wp:posOffset>
                  </wp:positionV>
                  <wp:extent cx="6299835" cy="0"/>
                  <wp:effectExtent l="0" t="0" r="24765" b="19050"/>
                  <wp:wrapNone/>
                  <wp:docPr id="18"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D0FC9E" id="Connettore 1 12" o:spid="_x0000_s1026" style="position:absolute;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fQ1Zyu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63872" behindDoc="0" locked="0" layoutInCell="1" allowOverlap="1" wp14:anchorId="31F6BCC7" wp14:editId="61B4F25D">
                  <wp:simplePos x="0" y="0"/>
                  <wp:positionH relativeFrom="column">
                    <wp:posOffset>-10160</wp:posOffset>
                  </wp:positionH>
                  <wp:positionV relativeFrom="paragraph">
                    <wp:posOffset>-127636</wp:posOffset>
                  </wp:positionV>
                  <wp:extent cx="6299835" cy="0"/>
                  <wp:effectExtent l="0" t="0" r="24765" b="19050"/>
                  <wp:wrapNone/>
                  <wp:docPr id="17"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756DFD" id="Connettore 1 28"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KW1Dln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r w:rsidRPr="00A17739">
          <w:rPr>
            <w:rFonts w:ascii="Arial" w:hAnsi="Arial" w:cs="Arial"/>
            <w:noProof/>
            <w:sz w:val="22"/>
            <w:szCs w:val="22"/>
          </w:rPr>
          <w:drawing>
            <wp:anchor distT="0" distB="0" distL="114300" distR="114300" simplePos="0" relativeHeight="251659776" behindDoc="0" locked="0" layoutInCell="1" allowOverlap="1" wp14:anchorId="75C2B77B" wp14:editId="4A05DC2C">
              <wp:simplePos x="0" y="0"/>
              <wp:positionH relativeFrom="column">
                <wp:posOffset>-545465</wp:posOffset>
              </wp:positionH>
              <wp:positionV relativeFrom="paragraph">
                <wp:posOffset>-3345505</wp:posOffset>
              </wp:positionV>
              <wp:extent cx="466725" cy="483235"/>
              <wp:effectExtent l="0" t="0" r="9525" b="0"/>
              <wp:wrapNone/>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32272902"/>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3632" behindDoc="0" locked="0" layoutInCell="0" allowOverlap="1" wp14:anchorId="5DDC72CD" wp14:editId="6D2D151C">
                      <wp:simplePos x="0" y="0"/>
                      <wp:positionH relativeFrom="rightMargin">
                        <wp:posOffset>179070</wp:posOffset>
                      </wp:positionH>
                      <wp:positionV relativeFrom="margin">
                        <wp:posOffset>9758045</wp:posOffset>
                      </wp:positionV>
                      <wp:extent cx="398780" cy="329565"/>
                      <wp:effectExtent l="0" t="0" r="0" b="0"/>
                      <wp:wrapNone/>
                      <wp:docPr id="1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2512EB1E" w14:textId="362A6C96" w:rsidR="00155C7A" w:rsidRPr="001B745D" w:rsidRDefault="00155C7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96AB9">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DDC72CD" id="Rettangolo 4" o:spid="_x0000_s1028" style="position:absolute;margin-left:14.1pt;margin-top:768.35pt;width:31.4pt;height:25.95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" o:allowincell="f" filled="f" stroked="f">
                      <v:textbox>
                        <w:txbxContent>
                          <w:p w14:paraId="2512EB1E" w14:textId="362A6C96" w:rsidR="00155C7A" w:rsidRPr="001B745D" w:rsidRDefault="00155C7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96AB9">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4656" behindDoc="0" locked="0" layoutInCell="1" allowOverlap="1" wp14:anchorId="758FCFED" wp14:editId="2928A193">
                  <wp:simplePos x="0" y="0"/>
                  <wp:positionH relativeFrom="column">
                    <wp:posOffset>5678170</wp:posOffset>
                  </wp:positionH>
                  <wp:positionV relativeFrom="paragraph">
                    <wp:posOffset>-263525</wp:posOffset>
                  </wp:positionV>
                  <wp:extent cx="1256030" cy="788035"/>
                  <wp:effectExtent l="0" t="0" r="127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43392" behindDoc="0" locked="0" layoutInCell="1" allowOverlap="1" wp14:anchorId="16CB3C3A" wp14:editId="0DD23CEA">
                      <wp:simplePos x="0" y="0"/>
                      <wp:positionH relativeFrom="column">
                        <wp:posOffset>-620395</wp:posOffset>
                      </wp:positionH>
                      <wp:positionV relativeFrom="paragraph">
                        <wp:posOffset>-3084195</wp:posOffset>
                      </wp:positionV>
                      <wp:extent cx="7553325" cy="3476625"/>
                      <wp:effectExtent l="0" t="0" r="9525" b="9525"/>
                      <wp:wrapNone/>
                      <wp:docPr id="15"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F29CF1" id="Rettangolo 10" o:spid="_x0000_s1026" style="position:absolute;margin-left:-48.85pt;margin-top:-242.85pt;width:594.75pt;height:27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" fillcolor="#d8d8d8 [2732]" stroked="f" strokeweight="2pt">
                      <v:path arrowok="t"/>
                    </v:rect>
                  </w:pict>
                </mc:Fallback>
              </mc:AlternateContent>
            </w:r>
          </w:sdtContent>
        </w:sdt>
      </w:p>
    </w:sdtContent>
  </w:sdt>
  <w:p w14:paraId="57C9FE50" w14:textId="77777777" w:rsidR="00155C7A" w:rsidRDefault="00155C7A" w:rsidP="00842757">
    <w:pPr>
      <w:pStyle w:val="Pidipagina"/>
      <w:tabs>
        <w:tab w:val="clear" w:pos="4819"/>
        <w:tab w:val="clear" w:pos="9638"/>
        <w:tab w:val="left" w:pos="777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highlight w:val="lightGray"/>
      </w:rPr>
      <w:id w:val="-1552604650"/>
      <w:docPartObj>
        <w:docPartGallery w:val="Page Numbers (Bottom of Page)"/>
        <w:docPartUnique/>
      </w:docPartObj>
    </w:sdtPr>
    <w:sdtEndPr/>
    <w:sdtContent>
      <w:p w14:paraId="3325FAF2" w14:textId="77777777" w:rsidR="00155C7A" w:rsidRDefault="00155C7A">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92544" behindDoc="0" locked="0" layoutInCell="1" allowOverlap="1" wp14:anchorId="55778731" wp14:editId="658A46C1">
                  <wp:simplePos x="0" y="0"/>
                  <wp:positionH relativeFrom="column">
                    <wp:posOffset>-10160</wp:posOffset>
                  </wp:positionH>
                  <wp:positionV relativeFrom="paragraph">
                    <wp:posOffset>-2532381</wp:posOffset>
                  </wp:positionV>
                  <wp:extent cx="6299835" cy="0"/>
                  <wp:effectExtent l="0" t="0" r="24765" b="19050"/>
                  <wp:wrapNone/>
                  <wp:docPr id="14"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C16263" id="Connettore 1 12" o:spid="_x0000_s1026"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wpfyIe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1520" behindDoc="0" locked="0" layoutInCell="1" allowOverlap="1" wp14:anchorId="04C93FCB" wp14:editId="37A114E1">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BBC356" id="Connettore 1 28"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156538668"/>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89472" behindDoc="0" locked="0" layoutInCell="0" allowOverlap="1" wp14:anchorId="39AAD62D" wp14:editId="69E75F67">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67873161" w14:textId="2A6A311C" w:rsidR="00155C7A" w:rsidRPr="001B745D" w:rsidRDefault="00155C7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96AB9">
                                    <w:rPr>
                                      <w:rFonts w:ascii="Arial" w:hAnsi="Arial" w:cs="Arial"/>
                                      <w:b/>
                                      <w:noProof/>
                                      <w:color w:val="244061" w:themeColor="accent1" w:themeShade="80"/>
                                      <w:sz w:val="20"/>
                                      <w:szCs w:val="20"/>
                                    </w:rPr>
                                    <w:t>17</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9AAD62D" id="_x0000_s1029" style="position:absolute;margin-left:14.1pt;margin-top:768.35pt;width:31.4pt;height:25.95pt;z-index:25168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" o:allowincell="f" filled="f" stroked="f">
                      <v:textbox>
                        <w:txbxContent>
                          <w:p w14:paraId="67873161" w14:textId="2A6A311C" w:rsidR="00155C7A" w:rsidRPr="001B745D" w:rsidRDefault="00155C7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96AB9">
                              <w:rPr>
                                <w:rFonts w:ascii="Arial" w:hAnsi="Arial" w:cs="Arial"/>
                                <w:b/>
                                <w:noProof/>
                                <w:color w:val="244061" w:themeColor="accent1" w:themeShade="80"/>
                                <w:sz w:val="20"/>
                                <w:szCs w:val="20"/>
                              </w:rPr>
                              <w:t>17</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88448" behindDoc="0" locked="0" layoutInCell="1" allowOverlap="1" wp14:anchorId="6C43D133" wp14:editId="00BD891E">
                  <wp:simplePos x="0" y="0"/>
                  <wp:positionH relativeFrom="column">
                    <wp:posOffset>5678170</wp:posOffset>
                  </wp:positionH>
                  <wp:positionV relativeFrom="paragraph">
                    <wp:posOffset>-263525</wp:posOffset>
                  </wp:positionV>
                  <wp:extent cx="1256030" cy="788035"/>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p>
    </w:sdtContent>
  </w:sdt>
  <w:p w14:paraId="5318DAC6" w14:textId="77777777" w:rsidR="00155C7A" w:rsidRDefault="00155C7A" w:rsidP="00842757">
    <w:pPr>
      <w:pStyle w:val="Pidipagina"/>
      <w:tabs>
        <w:tab w:val="clear" w:pos="4819"/>
        <w:tab w:val="clear" w:pos="9638"/>
        <w:tab w:val="left" w:pos="777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3B706" w14:textId="77777777" w:rsidR="005C0E71" w:rsidRDefault="005C0E71">
      <w:r>
        <w:separator/>
      </w:r>
    </w:p>
  </w:footnote>
  <w:footnote w:type="continuationSeparator" w:id="0">
    <w:p w14:paraId="7CE1F615" w14:textId="77777777" w:rsidR="005C0E71" w:rsidRDefault="005C0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73D7" w14:textId="77777777" w:rsidR="00155C7A" w:rsidRDefault="00155C7A"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7D93F9AB" wp14:editId="2A5F97A7">
              <wp:simplePos x="0" y="0"/>
              <wp:positionH relativeFrom="page">
                <wp:posOffset>5810249</wp:posOffset>
              </wp:positionH>
              <wp:positionV relativeFrom="paragraph">
                <wp:posOffset>0</wp:posOffset>
              </wp:positionV>
              <wp:extent cx="1745615" cy="396240"/>
              <wp:effectExtent l="0" t="0" r="6985"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96240"/>
                      </a:xfrm>
                      <a:prstGeom prst="rect">
                        <a:avLst/>
                      </a:prstGeom>
                      <a:solidFill>
                        <a:schemeClr val="tx2"/>
                      </a:solidFill>
                      <a:ln>
                        <a:noFill/>
                      </a:ln>
                    </wps:spPr>
                    <wps:txbx>
                      <w:txbxContent>
                        <w:p w14:paraId="0241F37B" w14:textId="77777777" w:rsidR="00155C7A" w:rsidRPr="00A804E3" w:rsidRDefault="00155C7A" w:rsidP="00DF2FE2">
                          <w:pPr>
                            <w:autoSpaceDE w:val="0"/>
                            <w:autoSpaceDN w:val="0"/>
                            <w:adjustRightInd w:val="0"/>
                            <w:jc w:val="center"/>
                            <w:rPr>
                              <w:rFonts w:ascii="Arial Narrow" w:hAnsi="Arial Narrow" w:cs="Arial"/>
                              <w:b/>
                              <w:bCs/>
                              <w:color w:val="FFFFFF" w:themeColor="background1"/>
                              <w:sz w:val="8"/>
                              <w:szCs w:val="26"/>
                            </w:rPr>
                          </w:pPr>
                        </w:p>
                        <w:p w14:paraId="37267646" w14:textId="1770BCC6" w:rsidR="00155C7A" w:rsidRPr="00690C34" w:rsidRDefault="00155C7A" w:rsidP="00556381">
                          <w:pPr>
                            <w:autoSpaceDE w:val="0"/>
                            <w:autoSpaceDN w:val="0"/>
                            <w:adjustRightInd w:val="0"/>
                            <w:spacing w:before="40"/>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 xml:space="preserve">       21 FEBBRAIO 2022</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D93F9AB" id="_x0000_t202" coordsize="21600,21600" o:spt="202" path="m,l,21600r21600,l21600,xe">
              <v:stroke joinstyle="miter"/>
              <v:path gradientshapeok="t" o:connecttype="rect"/>
            </v:shapetype>
            <v:shape id="Text Box 2" o:spid="_x0000_s1026" type="#_x0000_t202" style="position:absolute;left:0;text-align:left;margin-left:457.5pt;margin-top:0;width:137.45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" fillcolor="#1f497d [3215]" stroked="f">
              <v:textbox inset="1.5mm,,1.5mm">
                <w:txbxContent>
                  <w:p w14:paraId="0241F37B" w14:textId="77777777" w:rsidR="00155C7A" w:rsidRPr="00A804E3" w:rsidRDefault="00155C7A" w:rsidP="00DF2FE2">
                    <w:pPr>
                      <w:autoSpaceDE w:val="0"/>
                      <w:autoSpaceDN w:val="0"/>
                      <w:adjustRightInd w:val="0"/>
                      <w:jc w:val="center"/>
                      <w:rPr>
                        <w:rFonts w:ascii="Arial Narrow" w:hAnsi="Arial Narrow" w:cs="Arial"/>
                        <w:b/>
                        <w:bCs/>
                        <w:color w:val="FFFFFF" w:themeColor="background1"/>
                        <w:sz w:val="8"/>
                        <w:szCs w:val="26"/>
                      </w:rPr>
                    </w:pPr>
                  </w:p>
                  <w:p w14:paraId="37267646" w14:textId="1770BCC6" w:rsidR="00155C7A" w:rsidRPr="00690C34" w:rsidRDefault="00155C7A" w:rsidP="00556381">
                    <w:pPr>
                      <w:autoSpaceDE w:val="0"/>
                      <w:autoSpaceDN w:val="0"/>
                      <w:adjustRightInd w:val="0"/>
                      <w:spacing w:before="40"/>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 xml:space="preserve">       21 FEBBRAIO 2022</w:t>
                    </w:r>
                  </w:p>
                </w:txbxContent>
              </v:textbox>
              <w10:wrap anchorx="page"/>
            </v:shape>
          </w:pict>
        </mc:Fallback>
      </mc:AlternateContent>
    </w:r>
    <w:r>
      <w:rPr>
        <w:noProof/>
      </w:rPr>
      <w:drawing>
        <wp:inline distT="0" distB="0" distL="0" distR="0" wp14:anchorId="501EE2C4" wp14:editId="4BEE670C">
          <wp:extent cx="7560000" cy="164520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155C7A" w:rsidRPr="00DD6CCE" w14:paraId="0D4E852F" w14:textId="77777777" w:rsidTr="00C312B1">
      <w:trPr>
        <w:trHeight w:hRule="exact" w:val="567"/>
      </w:trPr>
      <w:tc>
        <w:tcPr>
          <w:tcW w:w="9323" w:type="dxa"/>
          <w:shd w:val="clear" w:color="auto" w:fill="1F497D" w:themeFill="text2"/>
          <w:vAlign w:val="center"/>
        </w:tcPr>
        <w:p w14:paraId="59EBA187" w14:textId="4CCB933B" w:rsidR="00155C7A" w:rsidRPr="005D6783" w:rsidRDefault="00155C7A" w:rsidP="00C312B1">
          <w:pPr>
            <w:pStyle w:val="Intestazione"/>
            <w:spacing w:before="120"/>
            <w:ind w:left="567"/>
            <w:jc w:val="left"/>
            <w:rPr>
              <w:rFonts w:ascii="Arial Narrow" w:hAnsi="Arial Narrow"/>
              <w:color w:val="FFFFFF" w:themeColor="background1"/>
              <w:sz w:val="24"/>
            </w:rPr>
          </w:pPr>
          <w:r>
            <w:rPr>
              <w:rFonts w:ascii="Arial Narrow" w:hAnsi="Arial Narrow"/>
              <w:color w:val="FFFFFF" w:themeColor="background1"/>
              <w:sz w:val="24"/>
            </w:rPr>
            <w:t>MATRIMONI, UNIONI CIVILI, SEPARAZIONI E DIVORZI</w:t>
          </w:r>
        </w:p>
      </w:tc>
      <w:tc>
        <w:tcPr>
          <w:tcW w:w="3016" w:type="dxa"/>
          <w:shd w:val="clear" w:color="auto" w:fill="1F497D" w:themeFill="text2"/>
          <w:vAlign w:val="center"/>
        </w:tcPr>
        <w:p w14:paraId="3FA08D03" w14:textId="77777777" w:rsidR="00155C7A" w:rsidRPr="00DD6CCE" w:rsidRDefault="00155C7A"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64896" behindDoc="0" locked="0" layoutInCell="1" allowOverlap="1" wp14:anchorId="695E18F4" wp14:editId="59F02733">
                <wp:simplePos x="0" y="0"/>
                <wp:positionH relativeFrom="column">
                  <wp:posOffset>598805</wp:posOffset>
                </wp:positionH>
                <wp:positionV relativeFrom="paragraph">
                  <wp:posOffset>-1905</wp:posOffset>
                </wp:positionV>
                <wp:extent cx="695325" cy="198120"/>
                <wp:effectExtent l="0" t="0" r="9525"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18580E6E" w14:textId="77777777" w:rsidR="00155C7A" w:rsidRPr="007D0BF5" w:rsidRDefault="00155C7A"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31383"/>
    <w:multiLevelType w:val="hybridMultilevel"/>
    <w:tmpl w:val="4A4A6C0C"/>
    <w:lvl w:ilvl="0" w:tplc="AD2873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B538A7"/>
    <w:multiLevelType w:val="hybridMultilevel"/>
    <w:tmpl w:val="6BE010C2"/>
    <w:lvl w:ilvl="0" w:tplc="B596D914">
      <w:numFmt w:val="bullet"/>
      <w:lvlText w:val="-"/>
      <w:lvlJc w:val="left"/>
      <w:pPr>
        <w:ind w:left="819" w:hanging="360"/>
      </w:pPr>
      <w:rPr>
        <w:rFonts w:ascii="Georgia" w:eastAsia="Times New Roman" w:hAnsi="Georgia" w:cs="Aria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2" w15:restartNumberingAfterBreak="0">
    <w:nsid w:val="20A75AFD"/>
    <w:multiLevelType w:val="hybridMultilevel"/>
    <w:tmpl w:val="7A60242E"/>
    <w:lvl w:ilvl="0" w:tplc="B91E69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437B23"/>
    <w:multiLevelType w:val="hybridMultilevel"/>
    <w:tmpl w:val="A510E250"/>
    <w:lvl w:ilvl="0" w:tplc="13FADF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01217C"/>
    <w:multiLevelType w:val="hybridMultilevel"/>
    <w:tmpl w:val="4B3EFEC4"/>
    <w:lvl w:ilvl="0" w:tplc="05D2A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FD55255"/>
    <w:multiLevelType w:val="hybridMultilevel"/>
    <w:tmpl w:val="E9F29EC4"/>
    <w:lvl w:ilvl="0" w:tplc="661496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DFC5A30"/>
    <w:multiLevelType w:val="hybridMultilevel"/>
    <w:tmpl w:val="58E49CD6"/>
    <w:lvl w:ilvl="0" w:tplc="C644C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EA71BC5"/>
    <w:multiLevelType w:val="hybridMultilevel"/>
    <w:tmpl w:val="FBA6C2D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it-IT" w:vendorID="64" w:dllVersion="6" w:nlCheck="1" w:checkStyle="0"/>
  <w:activeWritingStyle w:appName="MSWord" w:lang="it-IT" w:vendorID="64" w:dllVersion="0" w:nlCheck="1" w:checkStyle="0"/>
  <w:activeWritingStyle w:appName="MSWord" w:lang="it-IT" w:vendorID="64" w:dllVersion="409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FF"/>
    <w:rsid w:val="0000053D"/>
    <w:rsid w:val="00000DE6"/>
    <w:rsid w:val="00001763"/>
    <w:rsid w:val="000020C7"/>
    <w:rsid w:val="00002177"/>
    <w:rsid w:val="00002AED"/>
    <w:rsid w:val="0000396F"/>
    <w:rsid w:val="000042EB"/>
    <w:rsid w:val="0000580A"/>
    <w:rsid w:val="00006D10"/>
    <w:rsid w:val="00007066"/>
    <w:rsid w:val="0000734C"/>
    <w:rsid w:val="000075FC"/>
    <w:rsid w:val="0000784B"/>
    <w:rsid w:val="00007F49"/>
    <w:rsid w:val="00010170"/>
    <w:rsid w:val="00010BD3"/>
    <w:rsid w:val="00011037"/>
    <w:rsid w:val="00011CD9"/>
    <w:rsid w:val="00011FDA"/>
    <w:rsid w:val="0001203B"/>
    <w:rsid w:val="00012616"/>
    <w:rsid w:val="00014D02"/>
    <w:rsid w:val="00014F90"/>
    <w:rsid w:val="0001544F"/>
    <w:rsid w:val="00015E66"/>
    <w:rsid w:val="00016F4D"/>
    <w:rsid w:val="0001738B"/>
    <w:rsid w:val="000176EC"/>
    <w:rsid w:val="00020945"/>
    <w:rsid w:val="00022348"/>
    <w:rsid w:val="0002235C"/>
    <w:rsid w:val="00023B4F"/>
    <w:rsid w:val="00023B7E"/>
    <w:rsid w:val="0002428F"/>
    <w:rsid w:val="0002505D"/>
    <w:rsid w:val="00025711"/>
    <w:rsid w:val="00026B2F"/>
    <w:rsid w:val="00030D17"/>
    <w:rsid w:val="00031115"/>
    <w:rsid w:val="0003181B"/>
    <w:rsid w:val="000318A8"/>
    <w:rsid w:val="00031A40"/>
    <w:rsid w:val="0003264F"/>
    <w:rsid w:val="0003298F"/>
    <w:rsid w:val="00033165"/>
    <w:rsid w:val="00033568"/>
    <w:rsid w:val="00033F2B"/>
    <w:rsid w:val="000343A2"/>
    <w:rsid w:val="00035516"/>
    <w:rsid w:val="00036154"/>
    <w:rsid w:val="000401BA"/>
    <w:rsid w:val="0004131D"/>
    <w:rsid w:val="00041599"/>
    <w:rsid w:val="00041838"/>
    <w:rsid w:val="00041DC5"/>
    <w:rsid w:val="000425AA"/>
    <w:rsid w:val="000426E7"/>
    <w:rsid w:val="00043696"/>
    <w:rsid w:val="000444BF"/>
    <w:rsid w:val="00044BA7"/>
    <w:rsid w:val="00044BFF"/>
    <w:rsid w:val="000450A5"/>
    <w:rsid w:val="0004526F"/>
    <w:rsid w:val="00045472"/>
    <w:rsid w:val="000463B5"/>
    <w:rsid w:val="000467F2"/>
    <w:rsid w:val="00047479"/>
    <w:rsid w:val="0004769F"/>
    <w:rsid w:val="000476DC"/>
    <w:rsid w:val="00047A1F"/>
    <w:rsid w:val="000507CF"/>
    <w:rsid w:val="00050D69"/>
    <w:rsid w:val="0005225C"/>
    <w:rsid w:val="0005356B"/>
    <w:rsid w:val="000541C4"/>
    <w:rsid w:val="000541EC"/>
    <w:rsid w:val="0005451A"/>
    <w:rsid w:val="00055B88"/>
    <w:rsid w:val="00057EFB"/>
    <w:rsid w:val="00060683"/>
    <w:rsid w:val="000618C1"/>
    <w:rsid w:val="00061938"/>
    <w:rsid w:val="00062A73"/>
    <w:rsid w:val="00062C65"/>
    <w:rsid w:val="00063871"/>
    <w:rsid w:val="00063FE1"/>
    <w:rsid w:val="00064102"/>
    <w:rsid w:val="000646C1"/>
    <w:rsid w:val="00064F15"/>
    <w:rsid w:val="000665DC"/>
    <w:rsid w:val="00066F5C"/>
    <w:rsid w:val="000679B2"/>
    <w:rsid w:val="0007093C"/>
    <w:rsid w:val="00070FF7"/>
    <w:rsid w:val="00071126"/>
    <w:rsid w:val="000717CD"/>
    <w:rsid w:val="0007183B"/>
    <w:rsid w:val="000718B8"/>
    <w:rsid w:val="00071F99"/>
    <w:rsid w:val="00071FD9"/>
    <w:rsid w:val="000722A1"/>
    <w:rsid w:val="00072404"/>
    <w:rsid w:val="00072577"/>
    <w:rsid w:val="00072EE8"/>
    <w:rsid w:val="000730AF"/>
    <w:rsid w:val="00073381"/>
    <w:rsid w:val="0007343B"/>
    <w:rsid w:val="0007346F"/>
    <w:rsid w:val="0007364E"/>
    <w:rsid w:val="000737C5"/>
    <w:rsid w:val="00074F21"/>
    <w:rsid w:val="00075049"/>
    <w:rsid w:val="0007524D"/>
    <w:rsid w:val="00076B04"/>
    <w:rsid w:val="00077332"/>
    <w:rsid w:val="00077BBA"/>
    <w:rsid w:val="00080193"/>
    <w:rsid w:val="000808AF"/>
    <w:rsid w:val="000810FD"/>
    <w:rsid w:val="00081681"/>
    <w:rsid w:val="0008211B"/>
    <w:rsid w:val="000824CF"/>
    <w:rsid w:val="00082F25"/>
    <w:rsid w:val="00082F91"/>
    <w:rsid w:val="00083EA8"/>
    <w:rsid w:val="0008427D"/>
    <w:rsid w:val="000843B1"/>
    <w:rsid w:val="0008459E"/>
    <w:rsid w:val="0008573D"/>
    <w:rsid w:val="000858BB"/>
    <w:rsid w:val="00085D39"/>
    <w:rsid w:val="000860AB"/>
    <w:rsid w:val="00086337"/>
    <w:rsid w:val="0008701E"/>
    <w:rsid w:val="00087F2B"/>
    <w:rsid w:val="000924BC"/>
    <w:rsid w:val="000934B8"/>
    <w:rsid w:val="000940FB"/>
    <w:rsid w:val="0009519B"/>
    <w:rsid w:val="00095707"/>
    <w:rsid w:val="00096098"/>
    <w:rsid w:val="000962ED"/>
    <w:rsid w:val="00096A59"/>
    <w:rsid w:val="00096AB9"/>
    <w:rsid w:val="00096BB3"/>
    <w:rsid w:val="00097254"/>
    <w:rsid w:val="00097291"/>
    <w:rsid w:val="000A0304"/>
    <w:rsid w:val="000A1A44"/>
    <w:rsid w:val="000A2B36"/>
    <w:rsid w:val="000A2CE3"/>
    <w:rsid w:val="000A3079"/>
    <w:rsid w:val="000A35DD"/>
    <w:rsid w:val="000A3C52"/>
    <w:rsid w:val="000A3DA6"/>
    <w:rsid w:val="000A4F3E"/>
    <w:rsid w:val="000A5962"/>
    <w:rsid w:val="000A6EC8"/>
    <w:rsid w:val="000A7447"/>
    <w:rsid w:val="000B0188"/>
    <w:rsid w:val="000B2771"/>
    <w:rsid w:val="000B33BB"/>
    <w:rsid w:val="000B3860"/>
    <w:rsid w:val="000B4257"/>
    <w:rsid w:val="000B4826"/>
    <w:rsid w:val="000B54EA"/>
    <w:rsid w:val="000B5CF0"/>
    <w:rsid w:val="000B5F30"/>
    <w:rsid w:val="000B5F37"/>
    <w:rsid w:val="000B6060"/>
    <w:rsid w:val="000B63DB"/>
    <w:rsid w:val="000B68CB"/>
    <w:rsid w:val="000B6E6E"/>
    <w:rsid w:val="000B78AF"/>
    <w:rsid w:val="000B7A50"/>
    <w:rsid w:val="000B7E69"/>
    <w:rsid w:val="000C0E96"/>
    <w:rsid w:val="000C23C8"/>
    <w:rsid w:val="000C24A9"/>
    <w:rsid w:val="000C2AF7"/>
    <w:rsid w:val="000C2C72"/>
    <w:rsid w:val="000C3ACA"/>
    <w:rsid w:val="000C3D3C"/>
    <w:rsid w:val="000C3F2E"/>
    <w:rsid w:val="000C4223"/>
    <w:rsid w:val="000C5D95"/>
    <w:rsid w:val="000C5DC0"/>
    <w:rsid w:val="000C62EC"/>
    <w:rsid w:val="000C683D"/>
    <w:rsid w:val="000C6D3F"/>
    <w:rsid w:val="000C7AF6"/>
    <w:rsid w:val="000C7CB9"/>
    <w:rsid w:val="000C7E7F"/>
    <w:rsid w:val="000D01FA"/>
    <w:rsid w:val="000D058E"/>
    <w:rsid w:val="000D1FF1"/>
    <w:rsid w:val="000D20C3"/>
    <w:rsid w:val="000D31ED"/>
    <w:rsid w:val="000D3343"/>
    <w:rsid w:val="000D3BE3"/>
    <w:rsid w:val="000D4700"/>
    <w:rsid w:val="000D49B6"/>
    <w:rsid w:val="000D5E76"/>
    <w:rsid w:val="000D61A6"/>
    <w:rsid w:val="000D69AC"/>
    <w:rsid w:val="000D758D"/>
    <w:rsid w:val="000E01E0"/>
    <w:rsid w:val="000E0F08"/>
    <w:rsid w:val="000E13BE"/>
    <w:rsid w:val="000E2017"/>
    <w:rsid w:val="000E2097"/>
    <w:rsid w:val="000E28C7"/>
    <w:rsid w:val="000E2C69"/>
    <w:rsid w:val="000E2E33"/>
    <w:rsid w:val="000E3177"/>
    <w:rsid w:val="000E3182"/>
    <w:rsid w:val="000E36FF"/>
    <w:rsid w:val="000E47B2"/>
    <w:rsid w:val="000E4C5D"/>
    <w:rsid w:val="000E5511"/>
    <w:rsid w:val="000E6E1E"/>
    <w:rsid w:val="000F080C"/>
    <w:rsid w:val="000F0834"/>
    <w:rsid w:val="000F084D"/>
    <w:rsid w:val="000F0B72"/>
    <w:rsid w:val="000F0DE8"/>
    <w:rsid w:val="000F147E"/>
    <w:rsid w:val="000F2103"/>
    <w:rsid w:val="000F3134"/>
    <w:rsid w:val="000F3EE9"/>
    <w:rsid w:val="000F440B"/>
    <w:rsid w:val="000F524E"/>
    <w:rsid w:val="000F56AC"/>
    <w:rsid w:val="000F56B4"/>
    <w:rsid w:val="000F5E14"/>
    <w:rsid w:val="000F5F7E"/>
    <w:rsid w:val="000F61BC"/>
    <w:rsid w:val="000F63BB"/>
    <w:rsid w:val="000F6BD7"/>
    <w:rsid w:val="000F6D28"/>
    <w:rsid w:val="000F7212"/>
    <w:rsid w:val="000F73C6"/>
    <w:rsid w:val="000F7425"/>
    <w:rsid w:val="000F7E7C"/>
    <w:rsid w:val="00101A70"/>
    <w:rsid w:val="00101EBD"/>
    <w:rsid w:val="00102064"/>
    <w:rsid w:val="00102103"/>
    <w:rsid w:val="00102185"/>
    <w:rsid w:val="00102284"/>
    <w:rsid w:val="001024E9"/>
    <w:rsid w:val="001035E3"/>
    <w:rsid w:val="001038B2"/>
    <w:rsid w:val="001042B2"/>
    <w:rsid w:val="00104474"/>
    <w:rsid w:val="00104553"/>
    <w:rsid w:val="00104E17"/>
    <w:rsid w:val="001051FB"/>
    <w:rsid w:val="00105689"/>
    <w:rsid w:val="00105931"/>
    <w:rsid w:val="001059FA"/>
    <w:rsid w:val="00111A00"/>
    <w:rsid w:val="00111A23"/>
    <w:rsid w:val="00111DB1"/>
    <w:rsid w:val="00112B06"/>
    <w:rsid w:val="00112D4E"/>
    <w:rsid w:val="00112DB1"/>
    <w:rsid w:val="00113587"/>
    <w:rsid w:val="00114FA8"/>
    <w:rsid w:val="00115DEF"/>
    <w:rsid w:val="00117291"/>
    <w:rsid w:val="001178D5"/>
    <w:rsid w:val="00117C9A"/>
    <w:rsid w:val="00117FE2"/>
    <w:rsid w:val="0012000D"/>
    <w:rsid w:val="001216F3"/>
    <w:rsid w:val="00122603"/>
    <w:rsid w:val="0012282C"/>
    <w:rsid w:val="00122B4C"/>
    <w:rsid w:val="00123033"/>
    <w:rsid w:val="0012394C"/>
    <w:rsid w:val="00123CAE"/>
    <w:rsid w:val="00123E17"/>
    <w:rsid w:val="00124010"/>
    <w:rsid w:val="00124061"/>
    <w:rsid w:val="001266B6"/>
    <w:rsid w:val="00126FF0"/>
    <w:rsid w:val="00127809"/>
    <w:rsid w:val="00127A7C"/>
    <w:rsid w:val="00127BDB"/>
    <w:rsid w:val="00130872"/>
    <w:rsid w:val="00130A8B"/>
    <w:rsid w:val="00130D82"/>
    <w:rsid w:val="00131166"/>
    <w:rsid w:val="00131B50"/>
    <w:rsid w:val="00132230"/>
    <w:rsid w:val="00132E94"/>
    <w:rsid w:val="00133310"/>
    <w:rsid w:val="00133335"/>
    <w:rsid w:val="00133ACC"/>
    <w:rsid w:val="001349F8"/>
    <w:rsid w:val="00134BE2"/>
    <w:rsid w:val="001350C3"/>
    <w:rsid w:val="00135378"/>
    <w:rsid w:val="00135424"/>
    <w:rsid w:val="001359D5"/>
    <w:rsid w:val="00135B50"/>
    <w:rsid w:val="00136280"/>
    <w:rsid w:val="001365DB"/>
    <w:rsid w:val="001365F6"/>
    <w:rsid w:val="00136A09"/>
    <w:rsid w:val="001372AC"/>
    <w:rsid w:val="00137C1A"/>
    <w:rsid w:val="00140DFF"/>
    <w:rsid w:val="00141056"/>
    <w:rsid w:val="0014327D"/>
    <w:rsid w:val="0014340B"/>
    <w:rsid w:val="00143829"/>
    <w:rsid w:val="001471E6"/>
    <w:rsid w:val="001501AC"/>
    <w:rsid w:val="001512E9"/>
    <w:rsid w:val="001517D8"/>
    <w:rsid w:val="001523E8"/>
    <w:rsid w:val="00152C53"/>
    <w:rsid w:val="00152EFE"/>
    <w:rsid w:val="00153311"/>
    <w:rsid w:val="001537A3"/>
    <w:rsid w:val="00154931"/>
    <w:rsid w:val="00154F1A"/>
    <w:rsid w:val="00155789"/>
    <w:rsid w:val="00155C7A"/>
    <w:rsid w:val="001567B2"/>
    <w:rsid w:val="00156870"/>
    <w:rsid w:val="001569C5"/>
    <w:rsid w:val="00157219"/>
    <w:rsid w:val="00157F5E"/>
    <w:rsid w:val="00160774"/>
    <w:rsid w:val="00160C8A"/>
    <w:rsid w:val="001614C5"/>
    <w:rsid w:val="00161868"/>
    <w:rsid w:val="00161A02"/>
    <w:rsid w:val="00162A21"/>
    <w:rsid w:val="00163045"/>
    <w:rsid w:val="0016359C"/>
    <w:rsid w:val="00163CE2"/>
    <w:rsid w:val="001642C8"/>
    <w:rsid w:val="00164770"/>
    <w:rsid w:val="00164DD7"/>
    <w:rsid w:val="0016592A"/>
    <w:rsid w:val="001661A6"/>
    <w:rsid w:val="001661BE"/>
    <w:rsid w:val="001663CB"/>
    <w:rsid w:val="00166C29"/>
    <w:rsid w:val="00167170"/>
    <w:rsid w:val="00170AC8"/>
    <w:rsid w:val="00171303"/>
    <w:rsid w:val="00171977"/>
    <w:rsid w:val="00171A8E"/>
    <w:rsid w:val="001729A0"/>
    <w:rsid w:val="00172E71"/>
    <w:rsid w:val="00173008"/>
    <w:rsid w:val="00174FE1"/>
    <w:rsid w:val="001750C1"/>
    <w:rsid w:val="001754E7"/>
    <w:rsid w:val="001761CF"/>
    <w:rsid w:val="00176D20"/>
    <w:rsid w:val="0018019C"/>
    <w:rsid w:val="00180E98"/>
    <w:rsid w:val="00181074"/>
    <w:rsid w:val="00181263"/>
    <w:rsid w:val="001815CC"/>
    <w:rsid w:val="0018166E"/>
    <w:rsid w:val="00181C60"/>
    <w:rsid w:val="001826FE"/>
    <w:rsid w:val="00182894"/>
    <w:rsid w:val="00184084"/>
    <w:rsid w:val="00185665"/>
    <w:rsid w:val="00187341"/>
    <w:rsid w:val="00190006"/>
    <w:rsid w:val="00190158"/>
    <w:rsid w:val="00191477"/>
    <w:rsid w:val="001917F1"/>
    <w:rsid w:val="00191EA1"/>
    <w:rsid w:val="001925E3"/>
    <w:rsid w:val="00193A8D"/>
    <w:rsid w:val="00194F41"/>
    <w:rsid w:val="00195299"/>
    <w:rsid w:val="001953F8"/>
    <w:rsid w:val="00195481"/>
    <w:rsid w:val="001958B2"/>
    <w:rsid w:val="0019616E"/>
    <w:rsid w:val="001968E3"/>
    <w:rsid w:val="0019745C"/>
    <w:rsid w:val="00197520"/>
    <w:rsid w:val="0019759E"/>
    <w:rsid w:val="00197D76"/>
    <w:rsid w:val="001A0217"/>
    <w:rsid w:val="001A10C1"/>
    <w:rsid w:val="001A1346"/>
    <w:rsid w:val="001A29C8"/>
    <w:rsid w:val="001A4C6D"/>
    <w:rsid w:val="001A4D93"/>
    <w:rsid w:val="001A560C"/>
    <w:rsid w:val="001A611B"/>
    <w:rsid w:val="001A6284"/>
    <w:rsid w:val="001A62B0"/>
    <w:rsid w:val="001A62B5"/>
    <w:rsid w:val="001A74D9"/>
    <w:rsid w:val="001A7CAF"/>
    <w:rsid w:val="001A7F1A"/>
    <w:rsid w:val="001B10C3"/>
    <w:rsid w:val="001B1B94"/>
    <w:rsid w:val="001B1DB1"/>
    <w:rsid w:val="001B3C7A"/>
    <w:rsid w:val="001B3D84"/>
    <w:rsid w:val="001B41C2"/>
    <w:rsid w:val="001B4D79"/>
    <w:rsid w:val="001B5391"/>
    <w:rsid w:val="001B64E1"/>
    <w:rsid w:val="001B743D"/>
    <w:rsid w:val="001B745D"/>
    <w:rsid w:val="001B7C80"/>
    <w:rsid w:val="001C0092"/>
    <w:rsid w:val="001C03DA"/>
    <w:rsid w:val="001C07E6"/>
    <w:rsid w:val="001C0BF3"/>
    <w:rsid w:val="001C333E"/>
    <w:rsid w:val="001C3445"/>
    <w:rsid w:val="001C3851"/>
    <w:rsid w:val="001C3E12"/>
    <w:rsid w:val="001C4485"/>
    <w:rsid w:val="001C61CD"/>
    <w:rsid w:val="001C6222"/>
    <w:rsid w:val="001C635F"/>
    <w:rsid w:val="001C661F"/>
    <w:rsid w:val="001C6D75"/>
    <w:rsid w:val="001C7477"/>
    <w:rsid w:val="001C77B0"/>
    <w:rsid w:val="001D0137"/>
    <w:rsid w:val="001D0850"/>
    <w:rsid w:val="001D0E08"/>
    <w:rsid w:val="001D0EB7"/>
    <w:rsid w:val="001D32D2"/>
    <w:rsid w:val="001D3592"/>
    <w:rsid w:val="001D3636"/>
    <w:rsid w:val="001D3DA7"/>
    <w:rsid w:val="001D3FC5"/>
    <w:rsid w:val="001D429B"/>
    <w:rsid w:val="001D46FC"/>
    <w:rsid w:val="001D475E"/>
    <w:rsid w:val="001D5186"/>
    <w:rsid w:val="001D5578"/>
    <w:rsid w:val="001D6301"/>
    <w:rsid w:val="001D64EE"/>
    <w:rsid w:val="001D6BC4"/>
    <w:rsid w:val="001D6FBA"/>
    <w:rsid w:val="001D7102"/>
    <w:rsid w:val="001D75A9"/>
    <w:rsid w:val="001D7A31"/>
    <w:rsid w:val="001D7A7B"/>
    <w:rsid w:val="001D7ED4"/>
    <w:rsid w:val="001E00BC"/>
    <w:rsid w:val="001E0825"/>
    <w:rsid w:val="001E1028"/>
    <w:rsid w:val="001E1BA2"/>
    <w:rsid w:val="001E42F3"/>
    <w:rsid w:val="001E62A5"/>
    <w:rsid w:val="001E6D2C"/>
    <w:rsid w:val="001E7001"/>
    <w:rsid w:val="001E7641"/>
    <w:rsid w:val="001E7678"/>
    <w:rsid w:val="001E7CC8"/>
    <w:rsid w:val="001F0C12"/>
    <w:rsid w:val="001F1697"/>
    <w:rsid w:val="001F2DCA"/>
    <w:rsid w:val="001F486C"/>
    <w:rsid w:val="001F50BC"/>
    <w:rsid w:val="001F58C7"/>
    <w:rsid w:val="001F5D7B"/>
    <w:rsid w:val="001F609C"/>
    <w:rsid w:val="001F61BA"/>
    <w:rsid w:val="001F6677"/>
    <w:rsid w:val="001F697F"/>
    <w:rsid w:val="001F726A"/>
    <w:rsid w:val="002000AC"/>
    <w:rsid w:val="002005F1"/>
    <w:rsid w:val="00200669"/>
    <w:rsid w:val="0020087D"/>
    <w:rsid w:val="00200DCB"/>
    <w:rsid w:val="00200F17"/>
    <w:rsid w:val="00201C4C"/>
    <w:rsid w:val="002027BD"/>
    <w:rsid w:val="00202C51"/>
    <w:rsid w:val="00202D5E"/>
    <w:rsid w:val="00202E62"/>
    <w:rsid w:val="002031E5"/>
    <w:rsid w:val="00203F9E"/>
    <w:rsid w:val="002045DB"/>
    <w:rsid w:val="00204CF6"/>
    <w:rsid w:val="0020556C"/>
    <w:rsid w:val="002056F7"/>
    <w:rsid w:val="00205ADF"/>
    <w:rsid w:val="00205D0A"/>
    <w:rsid w:val="00206DEE"/>
    <w:rsid w:val="002072B2"/>
    <w:rsid w:val="0020776A"/>
    <w:rsid w:val="0020795A"/>
    <w:rsid w:val="002103C3"/>
    <w:rsid w:val="00210644"/>
    <w:rsid w:val="00210720"/>
    <w:rsid w:val="00210C42"/>
    <w:rsid w:val="00210DA8"/>
    <w:rsid w:val="00210DE0"/>
    <w:rsid w:val="0021197E"/>
    <w:rsid w:val="00212529"/>
    <w:rsid w:val="0021285C"/>
    <w:rsid w:val="00212F11"/>
    <w:rsid w:val="002137BA"/>
    <w:rsid w:val="00214722"/>
    <w:rsid w:val="00214B49"/>
    <w:rsid w:val="002158F5"/>
    <w:rsid w:val="00215FD0"/>
    <w:rsid w:val="0021672D"/>
    <w:rsid w:val="00216A11"/>
    <w:rsid w:val="00217B0C"/>
    <w:rsid w:val="00220D5E"/>
    <w:rsid w:val="00220F99"/>
    <w:rsid w:val="00221079"/>
    <w:rsid w:val="002222D4"/>
    <w:rsid w:val="002228EF"/>
    <w:rsid w:val="00222966"/>
    <w:rsid w:val="002236B4"/>
    <w:rsid w:val="002245DD"/>
    <w:rsid w:val="00224936"/>
    <w:rsid w:val="00225A82"/>
    <w:rsid w:val="00225B32"/>
    <w:rsid w:val="00226116"/>
    <w:rsid w:val="002261D9"/>
    <w:rsid w:val="00226676"/>
    <w:rsid w:val="002268E7"/>
    <w:rsid w:val="00226C04"/>
    <w:rsid w:val="00227318"/>
    <w:rsid w:val="00230239"/>
    <w:rsid w:val="00230982"/>
    <w:rsid w:val="00230AF5"/>
    <w:rsid w:val="00231BC5"/>
    <w:rsid w:val="002323B9"/>
    <w:rsid w:val="002330DF"/>
    <w:rsid w:val="00233163"/>
    <w:rsid w:val="002337A9"/>
    <w:rsid w:val="00235A69"/>
    <w:rsid w:val="00236BDB"/>
    <w:rsid w:val="00237297"/>
    <w:rsid w:val="002374DD"/>
    <w:rsid w:val="002402C9"/>
    <w:rsid w:val="00240860"/>
    <w:rsid w:val="00240909"/>
    <w:rsid w:val="00241DEE"/>
    <w:rsid w:val="002425DD"/>
    <w:rsid w:val="002427A6"/>
    <w:rsid w:val="00243905"/>
    <w:rsid w:val="00243F15"/>
    <w:rsid w:val="00244329"/>
    <w:rsid w:val="00246065"/>
    <w:rsid w:val="00246619"/>
    <w:rsid w:val="0024697E"/>
    <w:rsid w:val="00246D7E"/>
    <w:rsid w:val="0024708F"/>
    <w:rsid w:val="00250448"/>
    <w:rsid w:val="00250570"/>
    <w:rsid w:val="00250A8D"/>
    <w:rsid w:val="002518F5"/>
    <w:rsid w:val="00251CA6"/>
    <w:rsid w:val="002521EC"/>
    <w:rsid w:val="002524BD"/>
    <w:rsid w:val="00252651"/>
    <w:rsid w:val="0025287B"/>
    <w:rsid w:val="002533A7"/>
    <w:rsid w:val="00253644"/>
    <w:rsid w:val="002542DD"/>
    <w:rsid w:val="00254523"/>
    <w:rsid w:val="002546A6"/>
    <w:rsid w:val="00254851"/>
    <w:rsid w:val="002548C3"/>
    <w:rsid w:val="002551B8"/>
    <w:rsid w:val="00255A74"/>
    <w:rsid w:val="00255D3D"/>
    <w:rsid w:val="002568ED"/>
    <w:rsid w:val="00256F00"/>
    <w:rsid w:val="002573E5"/>
    <w:rsid w:val="00260479"/>
    <w:rsid w:val="002604A1"/>
    <w:rsid w:val="00260940"/>
    <w:rsid w:val="00260A0C"/>
    <w:rsid w:val="00260B50"/>
    <w:rsid w:val="002617CA"/>
    <w:rsid w:val="002617E8"/>
    <w:rsid w:val="00261BED"/>
    <w:rsid w:val="00261E46"/>
    <w:rsid w:val="00261FC1"/>
    <w:rsid w:val="00262A90"/>
    <w:rsid w:val="0026334D"/>
    <w:rsid w:val="00263991"/>
    <w:rsid w:val="002649E0"/>
    <w:rsid w:val="00264BF7"/>
    <w:rsid w:val="00264DC5"/>
    <w:rsid w:val="002655FE"/>
    <w:rsid w:val="002660EF"/>
    <w:rsid w:val="002665A8"/>
    <w:rsid w:val="00266C71"/>
    <w:rsid w:val="002674BB"/>
    <w:rsid w:val="002700BA"/>
    <w:rsid w:val="00270E8B"/>
    <w:rsid w:val="00271B23"/>
    <w:rsid w:val="00271F9A"/>
    <w:rsid w:val="0027204B"/>
    <w:rsid w:val="002722DA"/>
    <w:rsid w:val="00272675"/>
    <w:rsid w:val="00273092"/>
    <w:rsid w:val="0027327E"/>
    <w:rsid w:val="002734A4"/>
    <w:rsid w:val="00273608"/>
    <w:rsid w:val="00273A74"/>
    <w:rsid w:val="00274C09"/>
    <w:rsid w:val="002756D5"/>
    <w:rsid w:val="00275B6C"/>
    <w:rsid w:val="00275E9E"/>
    <w:rsid w:val="00275F5F"/>
    <w:rsid w:val="00277EAA"/>
    <w:rsid w:val="0028087D"/>
    <w:rsid w:val="00280C4D"/>
    <w:rsid w:val="002813BD"/>
    <w:rsid w:val="00281651"/>
    <w:rsid w:val="002818E3"/>
    <w:rsid w:val="002822D3"/>
    <w:rsid w:val="0028289B"/>
    <w:rsid w:val="00282971"/>
    <w:rsid w:val="00282D16"/>
    <w:rsid w:val="00282EE3"/>
    <w:rsid w:val="00283133"/>
    <w:rsid w:val="00285170"/>
    <w:rsid w:val="0028596C"/>
    <w:rsid w:val="0028627A"/>
    <w:rsid w:val="002864E8"/>
    <w:rsid w:val="00286634"/>
    <w:rsid w:val="00287928"/>
    <w:rsid w:val="00287DDE"/>
    <w:rsid w:val="00291A83"/>
    <w:rsid w:val="00291BC0"/>
    <w:rsid w:val="002940AA"/>
    <w:rsid w:val="002940B7"/>
    <w:rsid w:val="00294DC2"/>
    <w:rsid w:val="00295687"/>
    <w:rsid w:val="002956C9"/>
    <w:rsid w:val="00295F01"/>
    <w:rsid w:val="0029651A"/>
    <w:rsid w:val="002A0328"/>
    <w:rsid w:val="002A07C4"/>
    <w:rsid w:val="002A0D85"/>
    <w:rsid w:val="002A18E8"/>
    <w:rsid w:val="002A1DF5"/>
    <w:rsid w:val="002A1EED"/>
    <w:rsid w:val="002A2D78"/>
    <w:rsid w:val="002A2EA8"/>
    <w:rsid w:val="002A36A1"/>
    <w:rsid w:val="002A37AB"/>
    <w:rsid w:val="002A3AD4"/>
    <w:rsid w:val="002A4BA6"/>
    <w:rsid w:val="002A4DEC"/>
    <w:rsid w:val="002A5097"/>
    <w:rsid w:val="002A5447"/>
    <w:rsid w:val="002A5C47"/>
    <w:rsid w:val="002A5F54"/>
    <w:rsid w:val="002A5F61"/>
    <w:rsid w:val="002A6126"/>
    <w:rsid w:val="002A6BD1"/>
    <w:rsid w:val="002A76B0"/>
    <w:rsid w:val="002A791F"/>
    <w:rsid w:val="002B162D"/>
    <w:rsid w:val="002B2DF5"/>
    <w:rsid w:val="002B4126"/>
    <w:rsid w:val="002B4A54"/>
    <w:rsid w:val="002B4CB4"/>
    <w:rsid w:val="002C05EE"/>
    <w:rsid w:val="002C1AD7"/>
    <w:rsid w:val="002C1CF2"/>
    <w:rsid w:val="002C24B2"/>
    <w:rsid w:val="002C3E71"/>
    <w:rsid w:val="002C4572"/>
    <w:rsid w:val="002C484F"/>
    <w:rsid w:val="002C6AAB"/>
    <w:rsid w:val="002C6EE8"/>
    <w:rsid w:val="002C6F23"/>
    <w:rsid w:val="002C79A8"/>
    <w:rsid w:val="002C7B51"/>
    <w:rsid w:val="002C7EB8"/>
    <w:rsid w:val="002D0AB5"/>
    <w:rsid w:val="002D1385"/>
    <w:rsid w:val="002D18E7"/>
    <w:rsid w:val="002D1983"/>
    <w:rsid w:val="002D2583"/>
    <w:rsid w:val="002D2882"/>
    <w:rsid w:val="002D2A78"/>
    <w:rsid w:val="002D3C11"/>
    <w:rsid w:val="002D3C77"/>
    <w:rsid w:val="002D4C04"/>
    <w:rsid w:val="002D5148"/>
    <w:rsid w:val="002D5AFB"/>
    <w:rsid w:val="002D5E31"/>
    <w:rsid w:val="002D5ECA"/>
    <w:rsid w:val="002D6454"/>
    <w:rsid w:val="002D6C8C"/>
    <w:rsid w:val="002D72B5"/>
    <w:rsid w:val="002D7BAA"/>
    <w:rsid w:val="002D7EAD"/>
    <w:rsid w:val="002E0444"/>
    <w:rsid w:val="002E11AD"/>
    <w:rsid w:val="002E1FC0"/>
    <w:rsid w:val="002E2D2D"/>
    <w:rsid w:val="002E33E4"/>
    <w:rsid w:val="002E3784"/>
    <w:rsid w:val="002E3993"/>
    <w:rsid w:val="002E3C2E"/>
    <w:rsid w:val="002E47FC"/>
    <w:rsid w:val="002E5123"/>
    <w:rsid w:val="002E5718"/>
    <w:rsid w:val="002E581F"/>
    <w:rsid w:val="002E5DEE"/>
    <w:rsid w:val="002E7449"/>
    <w:rsid w:val="002E7582"/>
    <w:rsid w:val="002F00AA"/>
    <w:rsid w:val="002F0454"/>
    <w:rsid w:val="002F10BE"/>
    <w:rsid w:val="002F1AF9"/>
    <w:rsid w:val="002F21DF"/>
    <w:rsid w:val="002F3F9D"/>
    <w:rsid w:val="002F43FC"/>
    <w:rsid w:val="002F5992"/>
    <w:rsid w:val="002F5BF1"/>
    <w:rsid w:val="002F65BF"/>
    <w:rsid w:val="002F78F5"/>
    <w:rsid w:val="00300653"/>
    <w:rsid w:val="003032B0"/>
    <w:rsid w:val="00304C63"/>
    <w:rsid w:val="00305A32"/>
    <w:rsid w:val="00306063"/>
    <w:rsid w:val="00306CA0"/>
    <w:rsid w:val="0030749A"/>
    <w:rsid w:val="0030756B"/>
    <w:rsid w:val="003075C9"/>
    <w:rsid w:val="003105F9"/>
    <w:rsid w:val="00310EF5"/>
    <w:rsid w:val="0031188E"/>
    <w:rsid w:val="00311F7E"/>
    <w:rsid w:val="003122DE"/>
    <w:rsid w:val="003138E9"/>
    <w:rsid w:val="00313E58"/>
    <w:rsid w:val="00314B48"/>
    <w:rsid w:val="003152CD"/>
    <w:rsid w:val="003158F5"/>
    <w:rsid w:val="00315A68"/>
    <w:rsid w:val="00315EE7"/>
    <w:rsid w:val="00315F3F"/>
    <w:rsid w:val="0031685A"/>
    <w:rsid w:val="003172DF"/>
    <w:rsid w:val="00317AFA"/>
    <w:rsid w:val="00317B3E"/>
    <w:rsid w:val="003215E2"/>
    <w:rsid w:val="00321B2D"/>
    <w:rsid w:val="0032357C"/>
    <w:rsid w:val="0032369B"/>
    <w:rsid w:val="00323E06"/>
    <w:rsid w:val="00324141"/>
    <w:rsid w:val="003243EA"/>
    <w:rsid w:val="003247E0"/>
    <w:rsid w:val="00326836"/>
    <w:rsid w:val="003271C2"/>
    <w:rsid w:val="00327940"/>
    <w:rsid w:val="00330AEC"/>
    <w:rsid w:val="00332547"/>
    <w:rsid w:val="00332F72"/>
    <w:rsid w:val="00332FDC"/>
    <w:rsid w:val="003342E0"/>
    <w:rsid w:val="00334605"/>
    <w:rsid w:val="00334AF5"/>
    <w:rsid w:val="00334BE0"/>
    <w:rsid w:val="00334F99"/>
    <w:rsid w:val="003354FC"/>
    <w:rsid w:val="003363F4"/>
    <w:rsid w:val="003369BD"/>
    <w:rsid w:val="00336B1A"/>
    <w:rsid w:val="0033709E"/>
    <w:rsid w:val="003373DE"/>
    <w:rsid w:val="00337526"/>
    <w:rsid w:val="003379EA"/>
    <w:rsid w:val="00337A97"/>
    <w:rsid w:val="00337BEC"/>
    <w:rsid w:val="00340275"/>
    <w:rsid w:val="003402B4"/>
    <w:rsid w:val="003406B4"/>
    <w:rsid w:val="00340A11"/>
    <w:rsid w:val="00340EC1"/>
    <w:rsid w:val="00341069"/>
    <w:rsid w:val="00341742"/>
    <w:rsid w:val="00342438"/>
    <w:rsid w:val="00343312"/>
    <w:rsid w:val="00343B2C"/>
    <w:rsid w:val="00343EFB"/>
    <w:rsid w:val="0034404A"/>
    <w:rsid w:val="0034420A"/>
    <w:rsid w:val="003448E7"/>
    <w:rsid w:val="00344C31"/>
    <w:rsid w:val="00345555"/>
    <w:rsid w:val="003456AB"/>
    <w:rsid w:val="003463DA"/>
    <w:rsid w:val="003468CB"/>
    <w:rsid w:val="00347615"/>
    <w:rsid w:val="003478B9"/>
    <w:rsid w:val="00350415"/>
    <w:rsid w:val="0035093A"/>
    <w:rsid w:val="00350F81"/>
    <w:rsid w:val="003510C4"/>
    <w:rsid w:val="00351482"/>
    <w:rsid w:val="003514F4"/>
    <w:rsid w:val="00351D51"/>
    <w:rsid w:val="00353F2A"/>
    <w:rsid w:val="0035421B"/>
    <w:rsid w:val="003544AF"/>
    <w:rsid w:val="003558F7"/>
    <w:rsid w:val="003569AC"/>
    <w:rsid w:val="00356C2F"/>
    <w:rsid w:val="00356C84"/>
    <w:rsid w:val="00356FFD"/>
    <w:rsid w:val="003600B1"/>
    <w:rsid w:val="0036063E"/>
    <w:rsid w:val="00360674"/>
    <w:rsid w:val="00360814"/>
    <w:rsid w:val="003610DE"/>
    <w:rsid w:val="003617DE"/>
    <w:rsid w:val="003629F7"/>
    <w:rsid w:val="00363685"/>
    <w:rsid w:val="00363B01"/>
    <w:rsid w:val="00363B41"/>
    <w:rsid w:val="00364030"/>
    <w:rsid w:val="0036488D"/>
    <w:rsid w:val="00364DDF"/>
    <w:rsid w:val="00365AA3"/>
    <w:rsid w:val="00365D0A"/>
    <w:rsid w:val="0036647F"/>
    <w:rsid w:val="003669F9"/>
    <w:rsid w:val="00366EDD"/>
    <w:rsid w:val="00366EEA"/>
    <w:rsid w:val="00367556"/>
    <w:rsid w:val="003677D9"/>
    <w:rsid w:val="0036799C"/>
    <w:rsid w:val="00367A0C"/>
    <w:rsid w:val="003700B1"/>
    <w:rsid w:val="003705AB"/>
    <w:rsid w:val="0037067D"/>
    <w:rsid w:val="00370FD4"/>
    <w:rsid w:val="003711A8"/>
    <w:rsid w:val="00372D41"/>
    <w:rsid w:val="00373519"/>
    <w:rsid w:val="0037363C"/>
    <w:rsid w:val="00373868"/>
    <w:rsid w:val="00373A8E"/>
    <w:rsid w:val="00373E34"/>
    <w:rsid w:val="00374F44"/>
    <w:rsid w:val="00375770"/>
    <w:rsid w:val="0037578D"/>
    <w:rsid w:val="00376040"/>
    <w:rsid w:val="00376C25"/>
    <w:rsid w:val="00377640"/>
    <w:rsid w:val="00381013"/>
    <w:rsid w:val="00381463"/>
    <w:rsid w:val="00381A59"/>
    <w:rsid w:val="00381BB1"/>
    <w:rsid w:val="00382A55"/>
    <w:rsid w:val="00382AE8"/>
    <w:rsid w:val="00383153"/>
    <w:rsid w:val="003833B9"/>
    <w:rsid w:val="0038412A"/>
    <w:rsid w:val="00384161"/>
    <w:rsid w:val="00384667"/>
    <w:rsid w:val="00384ABB"/>
    <w:rsid w:val="00384B0B"/>
    <w:rsid w:val="00385126"/>
    <w:rsid w:val="00385F96"/>
    <w:rsid w:val="00387D04"/>
    <w:rsid w:val="00390745"/>
    <w:rsid w:val="00391190"/>
    <w:rsid w:val="00391300"/>
    <w:rsid w:val="003916E5"/>
    <w:rsid w:val="00391806"/>
    <w:rsid w:val="00391AD2"/>
    <w:rsid w:val="00391CED"/>
    <w:rsid w:val="00391E06"/>
    <w:rsid w:val="00391F2A"/>
    <w:rsid w:val="00391F40"/>
    <w:rsid w:val="00392EA3"/>
    <w:rsid w:val="00393E17"/>
    <w:rsid w:val="00395195"/>
    <w:rsid w:val="00395427"/>
    <w:rsid w:val="003956E6"/>
    <w:rsid w:val="00395E53"/>
    <w:rsid w:val="00396F1A"/>
    <w:rsid w:val="00397D8D"/>
    <w:rsid w:val="00397EAE"/>
    <w:rsid w:val="003A06E6"/>
    <w:rsid w:val="003A08A6"/>
    <w:rsid w:val="003A1257"/>
    <w:rsid w:val="003A154B"/>
    <w:rsid w:val="003A1C4A"/>
    <w:rsid w:val="003A2C70"/>
    <w:rsid w:val="003A2D6A"/>
    <w:rsid w:val="003A460A"/>
    <w:rsid w:val="003A5196"/>
    <w:rsid w:val="003A51CF"/>
    <w:rsid w:val="003A681E"/>
    <w:rsid w:val="003A698F"/>
    <w:rsid w:val="003A71C5"/>
    <w:rsid w:val="003A7A96"/>
    <w:rsid w:val="003B03B1"/>
    <w:rsid w:val="003B1B5A"/>
    <w:rsid w:val="003B262B"/>
    <w:rsid w:val="003B3908"/>
    <w:rsid w:val="003B4168"/>
    <w:rsid w:val="003B422D"/>
    <w:rsid w:val="003B4EFF"/>
    <w:rsid w:val="003B4F61"/>
    <w:rsid w:val="003B5DA1"/>
    <w:rsid w:val="003B5E10"/>
    <w:rsid w:val="003B5E1A"/>
    <w:rsid w:val="003B636D"/>
    <w:rsid w:val="003B6B0E"/>
    <w:rsid w:val="003B6D15"/>
    <w:rsid w:val="003B6E67"/>
    <w:rsid w:val="003B74EC"/>
    <w:rsid w:val="003B78D6"/>
    <w:rsid w:val="003B7D15"/>
    <w:rsid w:val="003B7EF6"/>
    <w:rsid w:val="003C00C6"/>
    <w:rsid w:val="003C0B2F"/>
    <w:rsid w:val="003C1656"/>
    <w:rsid w:val="003C1F9F"/>
    <w:rsid w:val="003C30FA"/>
    <w:rsid w:val="003C38EE"/>
    <w:rsid w:val="003C4213"/>
    <w:rsid w:val="003C45F2"/>
    <w:rsid w:val="003C48E0"/>
    <w:rsid w:val="003C4CD2"/>
    <w:rsid w:val="003C505C"/>
    <w:rsid w:val="003C6038"/>
    <w:rsid w:val="003C6140"/>
    <w:rsid w:val="003C6562"/>
    <w:rsid w:val="003C6BB6"/>
    <w:rsid w:val="003C6E2F"/>
    <w:rsid w:val="003C74F3"/>
    <w:rsid w:val="003C792E"/>
    <w:rsid w:val="003D0A4D"/>
    <w:rsid w:val="003D0B5C"/>
    <w:rsid w:val="003D10B4"/>
    <w:rsid w:val="003D1564"/>
    <w:rsid w:val="003D4B09"/>
    <w:rsid w:val="003D5353"/>
    <w:rsid w:val="003D5A04"/>
    <w:rsid w:val="003D5A13"/>
    <w:rsid w:val="003D60F4"/>
    <w:rsid w:val="003D678C"/>
    <w:rsid w:val="003D6A81"/>
    <w:rsid w:val="003D72B6"/>
    <w:rsid w:val="003E005D"/>
    <w:rsid w:val="003E0120"/>
    <w:rsid w:val="003E19C3"/>
    <w:rsid w:val="003E1FE4"/>
    <w:rsid w:val="003E2042"/>
    <w:rsid w:val="003E2438"/>
    <w:rsid w:val="003E32B7"/>
    <w:rsid w:val="003E382C"/>
    <w:rsid w:val="003E443A"/>
    <w:rsid w:val="003E458F"/>
    <w:rsid w:val="003E5B24"/>
    <w:rsid w:val="003E637D"/>
    <w:rsid w:val="003E6945"/>
    <w:rsid w:val="003E7F92"/>
    <w:rsid w:val="003F1181"/>
    <w:rsid w:val="003F14EF"/>
    <w:rsid w:val="003F1728"/>
    <w:rsid w:val="003F20FF"/>
    <w:rsid w:val="003F28F3"/>
    <w:rsid w:val="003F2CE6"/>
    <w:rsid w:val="003F30C3"/>
    <w:rsid w:val="003F43F8"/>
    <w:rsid w:val="003F4D0E"/>
    <w:rsid w:val="003F5A7E"/>
    <w:rsid w:val="003F5F66"/>
    <w:rsid w:val="003F65F1"/>
    <w:rsid w:val="003F65F8"/>
    <w:rsid w:val="003F6617"/>
    <w:rsid w:val="003F67E3"/>
    <w:rsid w:val="003F7AF3"/>
    <w:rsid w:val="003F7B71"/>
    <w:rsid w:val="004002AF"/>
    <w:rsid w:val="00400744"/>
    <w:rsid w:val="00400913"/>
    <w:rsid w:val="004009A3"/>
    <w:rsid w:val="0040125C"/>
    <w:rsid w:val="00401E9C"/>
    <w:rsid w:val="00402707"/>
    <w:rsid w:val="00402A07"/>
    <w:rsid w:val="0040426C"/>
    <w:rsid w:val="00404CA4"/>
    <w:rsid w:val="00404DB4"/>
    <w:rsid w:val="00405D71"/>
    <w:rsid w:val="00406A4D"/>
    <w:rsid w:val="00407053"/>
    <w:rsid w:val="004078B3"/>
    <w:rsid w:val="00407C3F"/>
    <w:rsid w:val="00407DEA"/>
    <w:rsid w:val="00410321"/>
    <w:rsid w:val="004107FB"/>
    <w:rsid w:val="00410FAA"/>
    <w:rsid w:val="00413DF4"/>
    <w:rsid w:val="0041426C"/>
    <w:rsid w:val="00414778"/>
    <w:rsid w:val="00414F8A"/>
    <w:rsid w:val="004155EE"/>
    <w:rsid w:val="004159AF"/>
    <w:rsid w:val="004159D4"/>
    <w:rsid w:val="004160A0"/>
    <w:rsid w:val="00416B4D"/>
    <w:rsid w:val="00417D17"/>
    <w:rsid w:val="00420036"/>
    <w:rsid w:val="004201A8"/>
    <w:rsid w:val="00421BBB"/>
    <w:rsid w:val="00421F64"/>
    <w:rsid w:val="0042246F"/>
    <w:rsid w:val="00422885"/>
    <w:rsid w:val="00424072"/>
    <w:rsid w:val="0042497B"/>
    <w:rsid w:val="00424B45"/>
    <w:rsid w:val="00424CB9"/>
    <w:rsid w:val="0042529E"/>
    <w:rsid w:val="004252F4"/>
    <w:rsid w:val="0042561D"/>
    <w:rsid w:val="00426191"/>
    <w:rsid w:val="00426880"/>
    <w:rsid w:val="0042762B"/>
    <w:rsid w:val="004309DA"/>
    <w:rsid w:val="00430CDA"/>
    <w:rsid w:val="004310F8"/>
    <w:rsid w:val="00432BAB"/>
    <w:rsid w:val="00433578"/>
    <w:rsid w:val="00433A11"/>
    <w:rsid w:val="00433AE7"/>
    <w:rsid w:val="00434505"/>
    <w:rsid w:val="00434ECC"/>
    <w:rsid w:val="00434FF3"/>
    <w:rsid w:val="0043514F"/>
    <w:rsid w:val="0043580E"/>
    <w:rsid w:val="00436186"/>
    <w:rsid w:val="0043767A"/>
    <w:rsid w:val="00437806"/>
    <w:rsid w:val="00440428"/>
    <w:rsid w:val="004407DC"/>
    <w:rsid w:val="00440A6A"/>
    <w:rsid w:val="00440F7C"/>
    <w:rsid w:val="0044115C"/>
    <w:rsid w:val="0044160C"/>
    <w:rsid w:val="0044170B"/>
    <w:rsid w:val="004431DD"/>
    <w:rsid w:val="004436D7"/>
    <w:rsid w:val="00445694"/>
    <w:rsid w:val="00445DAA"/>
    <w:rsid w:val="004460A6"/>
    <w:rsid w:val="004466D1"/>
    <w:rsid w:val="00446942"/>
    <w:rsid w:val="00447C72"/>
    <w:rsid w:val="00450209"/>
    <w:rsid w:val="00450258"/>
    <w:rsid w:val="004517DC"/>
    <w:rsid w:val="00451972"/>
    <w:rsid w:val="00451ED2"/>
    <w:rsid w:val="004520DD"/>
    <w:rsid w:val="004528BC"/>
    <w:rsid w:val="00452B04"/>
    <w:rsid w:val="00452C22"/>
    <w:rsid w:val="00452C79"/>
    <w:rsid w:val="00453B63"/>
    <w:rsid w:val="004557DE"/>
    <w:rsid w:val="00456A6C"/>
    <w:rsid w:val="00457F4F"/>
    <w:rsid w:val="00460328"/>
    <w:rsid w:val="004615E7"/>
    <w:rsid w:val="00461DA5"/>
    <w:rsid w:val="00462036"/>
    <w:rsid w:val="00462387"/>
    <w:rsid w:val="00462B39"/>
    <w:rsid w:val="00462BCC"/>
    <w:rsid w:val="004633F7"/>
    <w:rsid w:val="00463467"/>
    <w:rsid w:val="0046371E"/>
    <w:rsid w:val="0046402A"/>
    <w:rsid w:val="004646A1"/>
    <w:rsid w:val="0046539E"/>
    <w:rsid w:val="00466259"/>
    <w:rsid w:val="00466721"/>
    <w:rsid w:val="00467506"/>
    <w:rsid w:val="00467909"/>
    <w:rsid w:val="00467935"/>
    <w:rsid w:val="004712B9"/>
    <w:rsid w:val="00471B72"/>
    <w:rsid w:val="0047284C"/>
    <w:rsid w:val="00472DB8"/>
    <w:rsid w:val="00473605"/>
    <w:rsid w:val="004736AA"/>
    <w:rsid w:val="004746EF"/>
    <w:rsid w:val="0047471D"/>
    <w:rsid w:val="00474882"/>
    <w:rsid w:val="00475309"/>
    <w:rsid w:val="00475AE6"/>
    <w:rsid w:val="00475D73"/>
    <w:rsid w:val="00476107"/>
    <w:rsid w:val="00476E7D"/>
    <w:rsid w:val="0047746A"/>
    <w:rsid w:val="00480FF9"/>
    <w:rsid w:val="004819F7"/>
    <w:rsid w:val="00481F00"/>
    <w:rsid w:val="004826D8"/>
    <w:rsid w:val="00482990"/>
    <w:rsid w:val="00482CDC"/>
    <w:rsid w:val="00483118"/>
    <w:rsid w:val="00484475"/>
    <w:rsid w:val="00484846"/>
    <w:rsid w:val="00484FD0"/>
    <w:rsid w:val="004856E2"/>
    <w:rsid w:val="00485ED1"/>
    <w:rsid w:val="0048614C"/>
    <w:rsid w:val="00486629"/>
    <w:rsid w:val="00486C02"/>
    <w:rsid w:val="00486E7C"/>
    <w:rsid w:val="00487101"/>
    <w:rsid w:val="004875BE"/>
    <w:rsid w:val="0048761E"/>
    <w:rsid w:val="00487FAD"/>
    <w:rsid w:val="00490976"/>
    <w:rsid w:val="00490A29"/>
    <w:rsid w:val="00490A81"/>
    <w:rsid w:val="00490C49"/>
    <w:rsid w:val="00490E77"/>
    <w:rsid w:val="00491348"/>
    <w:rsid w:val="00491389"/>
    <w:rsid w:val="004913C7"/>
    <w:rsid w:val="004926B4"/>
    <w:rsid w:val="00492BB9"/>
    <w:rsid w:val="00492BCA"/>
    <w:rsid w:val="00492F4E"/>
    <w:rsid w:val="00493137"/>
    <w:rsid w:val="00493668"/>
    <w:rsid w:val="0049424F"/>
    <w:rsid w:val="004952C7"/>
    <w:rsid w:val="00495950"/>
    <w:rsid w:val="00496868"/>
    <w:rsid w:val="00497063"/>
    <w:rsid w:val="004975C0"/>
    <w:rsid w:val="00497B7F"/>
    <w:rsid w:val="004A01F0"/>
    <w:rsid w:val="004A0287"/>
    <w:rsid w:val="004A0897"/>
    <w:rsid w:val="004A0F7A"/>
    <w:rsid w:val="004A15DF"/>
    <w:rsid w:val="004A1760"/>
    <w:rsid w:val="004A2D8A"/>
    <w:rsid w:val="004A2DB4"/>
    <w:rsid w:val="004A3256"/>
    <w:rsid w:val="004A42D3"/>
    <w:rsid w:val="004A46C6"/>
    <w:rsid w:val="004A62DC"/>
    <w:rsid w:val="004A64E0"/>
    <w:rsid w:val="004A68C3"/>
    <w:rsid w:val="004A7607"/>
    <w:rsid w:val="004A78D8"/>
    <w:rsid w:val="004A7B66"/>
    <w:rsid w:val="004A7C23"/>
    <w:rsid w:val="004B0600"/>
    <w:rsid w:val="004B1382"/>
    <w:rsid w:val="004B34C7"/>
    <w:rsid w:val="004B416F"/>
    <w:rsid w:val="004B48BE"/>
    <w:rsid w:val="004B49F3"/>
    <w:rsid w:val="004B4A17"/>
    <w:rsid w:val="004B69E8"/>
    <w:rsid w:val="004B6ACB"/>
    <w:rsid w:val="004B6AEC"/>
    <w:rsid w:val="004B6E86"/>
    <w:rsid w:val="004B743E"/>
    <w:rsid w:val="004B77D3"/>
    <w:rsid w:val="004B781A"/>
    <w:rsid w:val="004C07FC"/>
    <w:rsid w:val="004C0D38"/>
    <w:rsid w:val="004C0FF2"/>
    <w:rsid w:val="004C16F4"/>
    <w:rsid w:val="004C2BB0"/>
    <w:rsid w:val="004C31B1"/>
    <w:rsid w:val="004C4863"/>
    <w:rsid w:val="004C56C4"/>
    <w:rsid w:val="004C726D"/>
    <w:rsid w:val="004C7647"/>
    <w:rsid w:val="004D00FE"/>
    <w:rsid w:val="004D03E5"/>
    <w:rsid w:val="004D2B01"/>
    <w:rsid w:val="004D3DD3"/>
    <w:rsid w:val="004D4107"/>
    <w:rsid w:val="004D57EA"/>
    <w:rsid w:val="004D6A05"/>
    <w:rsid w:val="004D6DB8"/>
    <w:rsid w:val="004D6F49"/>
    <w:rsid w:val="004D7FE0"/>
    <w:rsid w:val="004E086A"/>
    <w:rsid w:val="004E1B65"/>
    <w:rsid w:val="004E1EE3"/>
    <w:rsid w:val="004E2410"/>
    <w:rsid w:val="004E2944"/>
    <w:rsid w:val="004E2C34"/>
    <w:rsid w:val="004E3652"/>
    <w:rsid w:val="004E3781"/>
    <w:rsid w:val="004E4222"/>
    <w:rsid w:val="004E5585"/>
    <w:rsid w:val="004E69FF"/>
    <w:rsid w:val="004E754F"/>
    <w:rsid w:val="004F0F90"/>
    <w:rsid w:val="004F203D"/>
    <w:rsid w:val="004F25BD"/>
    <w:rsid w:val="004F2613"/>
    <w:rsid w:val="004F3AF0"/>
    <w:rsid w:val="004F477D"/>
    <w:rsid w:val="004F4D96"/>
    <w:rsid w:val="004F546D"/>
    <w:rsid w:val="004F55F7"/>
    <w:rsid w:val="004F6E92"/>
    <w:rsid w:val="004F728C"/>
    <w:rsid w:val="004F7CE8"/>
    <w:rsid w:val="005003CF"/>
    <w:rsid w:val="0050195C"/>
    <w:rsid w:val="00501D5F"/>
    <w:rsid w:val="00502E67"/>
    <w:rsid w:val="0050419F"/>
    <w:rsid w:val="005049BF"/>
    <w:rsid w:val="005056DF"/>
    <w:rsid w:val="00505A1B"/>
    <w:rsid w:val="00506EB6"/>
    <w:rsid w:val="00510190"/>
    <w:rsid w:val="0051159F"/>
    <w:rsid w:val="00511D91"/>
    <w:rsid w:val="0051243E"/>
    <w:rsid w:val="00513028"/>
    <w:rsid w:val="0051419B"/>
    <w:rsid w:val="005159CE"/>
    <w:rsid w:val="00515FDA"/>
    <w:rsid w:val="005160A0"/>
    <w:rsid w:val="005169BA"/>
    <w:rsid w:val="00516F06"/>
    <w:rsid w:val="0051707A"/>
    <w:rsid w:val="00517186"/>
    <w:rsid w:val="0051720F"/>
    <w:rsid w:val="005205E2"/>
    <w:rsid w:val="00521B18"/>
    <w:rsid w:val="00521D7C"/>
    <w:rsid w:val="00522593"/>
    <w:rsid w:val="00523E0A"/>
    <w:rsid w:val="005252BC"/>
    <w:rsid w:val="005263CF"/>
    <w:rsid w:val="00526579"/>
    <w:rsid w:val="005272CA"/>
    <w:rsid w:val="0052794B"/>
    <w:rsid w:val="00527BD7"/>
    <w:rsid w:val="00530B85"/>
    <w:rsid w:val="00530D2D"/>
    <w:rsid w:val="005311B1"/>
    <w:rsid w:val="0053147C"/>
    <w:rsid w:val="005325BD"/>
    <w:rsid w:val="00532CEB"/>
    <w:rsid w:val="00532D1E"/>
    <w:rsid w:val="0053345A"/>
    <w:rsid w:val="00533745"/>
    <w:rsid w:val="005338E6"/>
    <w:rsid w:val="005338F2"/>
    <w:rsid w:val="005360A3"/>
    <w:rsid w:val="00536E3E"/>
    <w:rsid w:val="00536FD7"/>
    <w:rsid w:val="005373F7"/>
    <w:rsid w:val="00537D16"/>
    <w:rsid w:val="00540184"/>
    <w:rsid w:val="005409AE"/>
    <w:rsid w:val="00540A3E"/>
    <w:rsid w:val="00541F4D"/>
    <w:rsid w:val="00542566"/>
    <w:rsid w:val="005425DD"/>
    <w:rsid w:val="005428D7"/>
    <w:rsid w:val="00542A17"/>
    <w:rsid w:val="005432AA"/>
    <w:rsid w:val="005433E0"/>
    <w:rsid w:val="005435F2"/>
    <w:rsid w:val="00544055"/>
    <w:rsid w:val="00544AC0"/>
    <w:rsid w:val="005453DC"/>
    <w:rsid w:val="00545631"/>
    <w:rsid w:val="00545AC4"/>
    <w:rsid w:val="00545CD6"/>
    <w:rsid w:val="00546CEB"/>
    <w:rsid w:val="00546EAC"/>
    <w:rsid w:val="00550119"/>
    <w:rsid w:val="00550D69"/>
    <w:rsid w:val="005517CD"/>
    <w:rsid w:val="00551988"/>
    <w:rsid w:val="00551CE3"/>
    <w:rsid w:val="0055209F"/>
    <w:rsid w:val="00552588"/>
    <w:rsid w:val="00552789"/>
    <w:rsid w:val="00552F83"/>
    <w:rsid w:val="00553C58"/>
    <w:rsid w:val="00554640"/>
    <w:rsid w:val="005553A1"/>
    <w:rsid w:val="005557AB"/>
    <w:rsid w:val="005559FD"/>
    <w:rsid w:val="00555CBC"/>
    <w:rsid w:val="0055625D"/>
    <w:rsid w:val="00556381"/>
    <w:rsid w:val="00557E44"/>
    <w:rsid w:val="00557F39"/>
    <w:rsid w:val="00560372"/>
    <w:rsid w:val="0056045B"/>
    <w:rsid w:val="005613A4"/>
    <w:rsid w:val="00562900"/>
    <w:rsid w:val="00562D52"/>
    <w:rsid w:val="005631CF"/>
    <w:rsid w:val="00563604"/>
    <w:rsid w:val="0056389B"/>
    <w:rsid w:val="00563C3D"/>
    <w:rsid w:val="00564F55"/>
    <w:rsid w:val="00565909"/>
    <w:rsid w:val="00567027"/>
    <w:rsid w:val="00567184"/>
    <w:rsid w:val="005673FE"/>
    <w:rsid w:val="00567682"/>
    <w:rsid w:val="0056789E"/>
    <w:rsid w:val="00567F52"/>
    <w:rsid w:val="005701F8"/>
    <w:rsid w:val="005702FA"/>
    <w:rsid w:val="00571D26"/>
    <w:rsid w:val="00573011"/>
    <w:rsid w:val="005738AE"/>
    <w:rsid w:val="005740CC"/>
    <w:rsid w:val="00574B65"/>
    <w:rsid w:val="00574B9A"/>
    <w:rsid w:val="00574FC2"/>
    <w:rsid w:val="00575303"/>
    <w:rsid w:val="00576121"/>
    <w:rsid w:val="005764AF"/>
    <w:rsid w:val="00576FDA"/>
    <w:rsid w:val="005772F5"/>
    <w:rsid w:val="0058002A"/>
    <w:rsid w:val="0058028C"/>
    <w:rsid w:val="00580FF4"/>
    <w:rsid w:val="005812F1"/>
    <w:rsid w:val="00581762"/>
    <w:rsid w:val="00581A20"/>
    <w:rsid w:val="00581BE9"/>
    <w:rsid w:val="00583407"/>
    <w:rsid w:val="005834AC"/>
    <w:rsid w:val="005836C4"/>
    <w:rsid w:val="00583BF7"/>
    <w:rsid w:val="00583F68"/>
    <w:rsid w:val="0058458E"/>
    <w:rsid w:val="0058493B"/>
    <w:rsid w:val="00584A0E"/>
    <w:rsid w:val="0058702E"/>
    <w:rsid w:val="00587489"/>
    <w:rsid w:val="0059086A"/>
    <w:rsid w:val="0059125F"/>
    <w:rsid w:val="005915FD"/>
    <w:rsid w:val="0059172F"/>
    <w:rsid w:val="0059207A"/>
    <w:rsid w:val="00594322"/>
    <w:rsid w:val="00596438"/>
    <w:rsid w:val="005976B4"/>
    <w:rsid w:val="00597CBD"/>
    <w:rsid w:val="00597FD0"/>
    <w:rsid w:val="005A0A2C"/>
    <w:rsid w:val="005A0D49"/>
    <w:rsid w:val="005A0E05"/>
    <w:rsid w:val="005A18C5"/>
    <w:rsid w:val="005A2AF9"/>
    <w:rsid w:val="005A3044"/>
    <w:rsid w:val="005A38AE"/>
    <w:rsid w:val="005A3DA9"/>
    <w:rsid w:val="005A5415"/>
    <w:rsid w:val="005A6AC4"/>
    <w:rsid w:val="005A738C"/>
    <w:rsid w:val="005B02D8"/>
    <w:rsid w:val="005B053B"/>
    <w:rsid w:val="005B094F"/>
    <w:rsid w:val="005B1558"/>
    <w:rsid w:val="005B1E4A"/>
    <w:rsid w:val="005B28F8"/>
    <w:rsid w:val="005B3839"/>
    <w:rsid w:val="005B4C3B"/>
    <w:rsid w:val="005B530C"/>
    <w:rsid w:val="005B6E0B"/>
    <w:rsid w:val="005B7C9A"/>
    <w:rsid w:val="005C0052"/>
    <w:rsid w:val="005C0E71"/>
    <w:rsid w:val="005C3547"/>
    <w:rsid w:val="005C35E9"/>
    <w:rsid w:val="005C3828"/>
    <w:rsid w:val="005C4AE1"/>
    <w:rsid w:val="005C50C6"/>
    <w:rsid w:val="005C51C2"/>
    <w:rsid w:val="005C557A"/>
    <w:rsid w:val="005C573F"/>
    <w:rsid w:val="005C5B84"/>
    <w:rsid w:val="005C5F52"/>
    <w:rsid w:val="005C673B"/>
    <w:rsid w:val="005C724C"/>
    <w:rsid w:val="005C76E1"/>
    <w:rsid w:val="005C7B85"/>
    <w:rsid w:val="005D02DA"/>
    <w:rsid w:val="005D202F"/>
    <w:rsid w:val="005D291B"/>
    <w:rsid w:val="005D318D"/>
    <w:rsid w:val="005D3F96"/>
    <w:rsid w:val="005D4897"/>
    <w:rsid w:val="005D5059"/>
    <w:rsid w:val="005D5E20"/>
    <w:rsid w:val="005D63E7"/>
    <w:rsid w:val="005D65F5"/>
    <w:rsid w:val="005D6783"/>
    <w:rsid w:val="005D6A70"/>
    <w:rsid w:val="005D733D"/>
    <w:rsid w:val="005D74B4"/>
    <w:rsid w:val="005D750F"/>
    <w:rsid w:val="005E0157"/>
    <w:rsid w:val="005E01A5"/>
    <w:rsid w:val="005E0395"/>
    <w:rsid w:val="005E0FE0"/>
    <w:rsid w:val="005E1230"/>
    <w:rsid w:val="005E142E"/>
    <w:rsid w:val="005E16A6"/>
    <w:rsid w:val="005E20BB"/>
    <w:rsid w:val="005E2E3C"/>
    <w:rsid w:val="005E33A2"/>
    <w:rsid w:val="005E3508"/>
    <w:rsid w:val="005E3AB5"/>
    <w:rsid w:val="005E3BEE"/>
    <w:rsid w:val="005E3CAD"/>
    <w:rsid w:val="005E43F1"/>
    <w:rsid w:val="005E44C5"/>
    <w:rsid w:val="005E4E9A"/>
    <w:rsid w:val="005E4F42"/>
    <w:rsid w:val="005E5122"/>
    <w:rsid w:val="005E5CF6"/>
    <w:rsid w:val="005E5DF7"/>
    <w:rsid w:val="005E65C4"/>
    <w:rsid w:val="005E6EFE"/>
    <w:rsid w:val="005E7157"/>
    <w:rsid w:val="005E72F2"/>
    <w:rsid w:val="005E7AD8"/>
    <w:rsid w:val="005E7B1C"/>
    <w:rsid w:val="005E7BC7"/>
    <w:rsid w:val="005F007E"/>
    <w:rsid w:val="005F07E1"/>
    <w:rsid w:val="005F0CE9"/>
    <w:rsid w:val="005F0E44"/>
    <w:rsid w:val="005F11CB"/>
    <w:rsid w:val="005F1B5E"/>
    <w:rsid w:val="005F259D"/>
    <w:rsid w:val="005F2758"/>
    <w:rsid w:val="005F3397"/>
    <w:rsid w:val="005F366E"/>
    <w:rsid w:val="005F5481"/>
    <w:rsid w:val="005F63E1"/>
    <w:rsid w:val="005F6D04"/>
    <w:rsid w:val="005F7018"/>
    <w:rsid w:val="005F76DA"/>
    <w:rsid w:val="005F7AE7"/>
    <w:rsid w:val="005F7D99"/>
    <w:rsid w:val="005F7FCE"/>
    <w:rsid w:val="00600116"/>
    <w:rsid w:val="006005FE"/>
    <w:rsid w:val="00600F2E"/>
    <w:rsid w:val="006010B8"/>
    <w:rsid w:val="00602A37"/>
    <w:rsid w:val="00602ED4"/>
    <w:rsid w:val="00603E05"/>
    <w:rsid w:val="006040BF"/>
    <w:rsid w:val="006042EA"/>
    <w:rsid w:val="00604D49"/>
    <w:rsid w:val="00604E4C"/>
    <w:rsid w:val="00604E5A"/>
    <w:rsid w:val="00604F1A"/>
    <w:rsid w:val="0060521F"/>
    <w:rsid w:val="006056FC"/>
    <w:rsid w:val="006058AB"/>
    <w:rsid w:val="00605FF4"/>
    <w:rsid w:val="006061F8"/>
    <w:rsid w:val="00606323"/>
    <w:rsid w:val="00606626"/>
    <w:rsid w:val="006066C0"/>
    <w:rsid w:val="00607DD6"/>
    <w:rsid w:val="006109AA"/>
    <w:rsid w:val="00610C4C"/>
    <w:rsid w:val="006114EA"/>
    <w:rsid w:val="00611B6C"/>
    <w:rsid w:val="00611BBD"/>
    <w:rsid w:val="006136F2"/>
    <w:rsid w:val="00613886"/>
    <w:rsid w:val="006140BE"/>
    <w:rsid w:val="006141F8"/>
    <w:rsid w:val="006147C6"/>
    <w:rsid w:val="00614886"/>
    <w:rsid w:val="00614B35"/>
    <w:rsid w:val="00614E97"/>
    <w:rsid w:val="006151B0"/>
    <w:rsid w:val="0061545C"/>
    <w:rsid w:val="00615DBB"/>
    <w:rsid w:val="00617C01"/>
    <w:rsid w:val="00617D8A"/>
    <w:rsid w:val="00617F1D"/>
    <w:rsid w:val="00620FE8"/>
    <w:rsid w:val="00621363"/>
    <w:rsid w:val="00621908"/>
    <w:rsid w:val="00621CCC"/>
    <w:rsid w:val="00621D49"/>
    <w:rsid w:val="006220F6"/>
    <w:rsid w:val="00622555"/>
    <w:rsid w:val="00622925"/>
    <w:rsid w:val="00622BD9"/>
    <w:rsid w:val="006238E7"/>
    <w:rsid w:val="006239EA"/>
    <w:rsid w:val="00624461"/>
    <w:rsid w:val="0062466C"/>
    <w:rsid w:val="00625181"/>
    <w:rsid w:val="00626288"/>
    <w:rsid w:val="00627528"/>
    <w:rsid w:val="006276D4"/>
    <w:rsid w:val="00627932"/>
    <w:rsid w:val="00627A6C"/>
    <w:rsid w:val="00627D36"/>
    <w:rsid w:val="00627D87"/>
    <w:rsid w:val="00630CA2"/>
    <w:rsid w:val="00631A8C"/>
    <w:rsid w:val="006322BC"/>
    <w:rsid w:val="00634489"/>
    <w:rsid w:val="00634D19"/>
    <w:rsid w:val="006373DD"/>
    <w:rsid w:val="00640037"/>
    <w:rsid w:val="006405D9"/>
    <w:rsid w:val="006409F0"/>
    <w:rsid w:val="00641414"/>
    <w:rsid w:val="00641F9F"/>
    <w:rsid w:val="00642951"/>
    <w:rsid w:val="00642C69"/>
    <w:rsid w:val="00642E26"/>
    <w:rsid w:val="00643632"/>
    <w:rsid w:val="00643C4B"/>
    <w:rsid w:val="00643DB9"/>
    <w:rsid w:val="00644292"/>
    <w:rsid w:val="00644524"/>
    <w:rsid w:val="00644BC1"/>
    <w:rsid w:val="0064502D"/>
    <w:rsid w:val="006453A9"/>
    <w:rsid w:val="00646160"/>
    <w:rsid w:val="0064661D"/>
    <w:rsid w:val="00646C6E"/>
    <w:rsid w:val="00646E35"/>
    <w:rsid w:val="00646E5A"/>
    <w:rsid w:val="006474E5"/>
    <w:rsid w:val="00647B40"/>
    <w:rsid w:val="00650314"/>
    <w:rsid w:val="0065099D"/>
    <w:rsid w:val="00650B43"/>
    <w:rsid w:val="00650DA8"/>
    <w:rsid w:val="006517ED"/>
    <w:rsid w:val="00651B62"/>
    <w:rsid w:val="00651ED8"/>
    <w:rsid w:val="006527FF"/>
    <w:rsid w:val="006529D0"/>
    <w:rsid w:val="006529F1"/>
    <w:rsid w:val="00652F23"/>
    <w:rsid w:val="0065386F"/>
    <w:rsid w:val="00653938"/>
    <w:rsid w:val="00653A80"/>
    <w:rsid w:val="0065402F"/>
    <w:rsid w:val="00654C27"/>
    <w:rsid w:val="00654EF1"/>
    <w:rsid w:val="00655188"/>
    <w:rsid w:val="00655680"/>
    <w:rsid w:val="00655C0C"/>
    <w:rsid w:val="00655C24"/>
    <w:rsid w:val="00656424"/>
    <w:rsid w:val="00656777"/>
    <w:rsid w:val="0065736C"/>
    <w:rsid w:val="00657661"/>
    <w:rsid w:val="0066004B"/>
    <w:rsid w:val="0066026B"/>
    <w:rsid w:val="0066059F"/>
    <w:rsid w:val="006607C5"/>
    <w:rsid w:val="00661537"/>
    <w:rsid w:val="00661677"/>
    <w:rsid w:val="006618F3"/>
    <w:rsid w:val="0066209F"/>
    <w:rsid w:val="006621E1"/>
    <w:rsid w:val="00662DA8"/>
    <w:rsid w:val="006646A8"/>
    <w:rsid w:val="0066507D"/>
    <w:rsid w:val="00665138"/>
    <w:rsid w:val="00665380"/>
    <w:rsid w:val="0066539E"/>
    <w:rsid w:val="00665B38"/>
    <w:rsid w:val="00665DE0"/>
    <w:rsid w:val="00665F4E"/>
    <w:rsid w:val="00665F6C"/>
    <w:rsid w:val="006660CA"/>
    <w:rsid w:val="0066616A"/>
    <w:rsid w:val="00666728"/>
    <w:rsid w:val="00667115"/>
    <w:rsid w:val="006674A0"/>
    <w:rsid w:val="0067018A"/>
    <w:rsid w:val="00670761"/>
    <w:rsid w:val="006709C0"/>
    <w:rsid w:val="006713A5"/>
    <w:rsid w:val="0067146D"/>
    <w:rsid w:val="0067178E"/>
    <w:rsid w:val="00671DD1"/>
    <w:rsid w:val="0067240A"/>
    <w:rsid w:val="006724EB"/>
    <w:rsid w:val="00672AF0"/>
    <w:rsid w:val="0067301A"/>
    <w:rsid w:val="00673039"/>
    <w:rsid w:val="0067318A"/>
    <w:rsid w:val="00673ABF"/>
    <w:rsid w:val="00673D29"/>
    <w:rsid w:val="00674A47"/>
    <w:rsid w:val="00674D02"/>
    <w:rsid w:val="00675B02"/>
    <w:rsid w:val="00675EAB"/>
    <w:rsid w:val="00676DB6"/>
    <w:rsid w:val="006774F5"/>
    <w:rsid w:val="006776CE"/>
    <w:rsid w:val="006778EA"/>
    <w:rsid w:val="00677D35"/>
    <w:rsid w:val="00681189"/>
    <w:rsid w:val="006820CC"/>
    <w:rsid w:val="0068295A"/>
    <w:rsid w:val="00685AB5"/>
    <w:rsid w:val="00686B7F"/>
    <w:rsid w:val="00687894"/>
    <w:rsid w:val="00690299"/>
    <w:rsid w:val="0069033E"/>
    <w:rsid w:val="00690C34"/>
    <w:rsid w:val="00691BE0"/>
    <w:rsid w:val="00691CC8"/>
    <w:rsid w:val="00692303"/>
    <w:rsid w:val="006923CD"/>
    <w:rsid w:val="006928DA"/>
    <w:rsid w:val="00692921"/>
    <w:rsid w:val="00692F29"/>
    <w:rsid w:val="0069345C"/>
    <w:rsid w:val="00694392"/>
    <w:rsid w:val="006950AD"/>
    <w:rsid w:val="006955BF"/>
    <w:rsid w:val="00695702"/>
    <w:rsid w:val="00695F6B"/>
    <w:rsid w:val="00697C6D"/>
    <w:rsid w:val="006A036B"/>
    <w:rsid w:val="006A135F"/>
    <w:rsid w:val="006A2844"/>
    <w:rsid w:val="006A30D9"/>
    <w:rsid w:val="006A3547"/>
    <w:rsid w:val="006A3672"/>
    <w:rsid w:val="006A3D5F"/>
    <w:rsid w:val="006A411C"/>
    <w:rsid w:val="006A4442"/>
    <w:rsid w:val="006A4BDE"/>
    <w:rsid w:val="006A4D18"/>
    <w:rsid w:val="006A4D90"/>
    <w:rsid w:val="006A51D2"/>
    <w:rsid w:val="006A53D2"/>
    <w:rsid w:val="006A70AA"/>
    <w:rsid w:val="006A7190"/>
    <w:rsid w:val="006A79BD"/>
    <w:rsid w:val="006A7A93"/>
    <w:rsid w:val="006B0735"/>
    <w:rsid w:val="006B0836"/>
    <w:rsid w:val="006B123D"/>
    <w:rsid w:val="006B2CA5"/>
    <w:rsid w:val="006B31EB"/>
    <w:rsid w:val="006B3903"/>
    <w:rsid w:val="006B399C"/>
    <w:rsid w:val="006B49B3"/>
    <w:rsid w:val="006B512D"/>
    <w:rsid w:val="006B5B2A"/>
    <w:rsid w:val="006B6346"/>
    <w:rsid w:val="006B6B91"/>
    <w:rsid w:val="006B7069"/>
    <w:rsid w:val="006B773C"/>
    <w:rsid w:val="006B7DDA"/>
    <w:rsid w:val="006C003D"/>
    <w:rsid w:val="006C1AE3"/>
    <w:rsid w:val="006C2FD7"/>
    <w:rsid w:val="006C3005"/>
    <w:rsid w:val="006C306B"/>
    <w:rsid w:val="006C312B"/>
    <w:rsid w:val="006C3343"/>
    <w:rsid w:val="006C3983"/>
    <w:rsid w:val="006C4575"/>
    <w:rsid w:val="006C474D"/>
    <w:rsid w:val="006C47E8"/>
    <w:rsid w:val="006C4808"/>
    <w:rsid w:val="006C480D"/>
    <w:rsid w:val="006C4834"/>
    <w:rsid w:val="006C4C38"/>
    <w:rsid w:val="006C5B25"/>
    <w:rsid w:val="006C5C86"/>
    <w:rsid w:val="006C5FF5"/>
    <w:rsid w:val="006C678F"/>
    <w:rsid w:val="006C7BE0"/>
    <w:rsid w:val="006D0392"/>
    <w:rsid w:val="006D07E6"/>
    <w:rsid w:val="006D09E1"/>
    <w:rsid w:val="006D10ED"/>
    <w:rsid w:val="006D1262"/>
    <w:rsid w:val="006D1BC2"/>
    <w:rsid w:val="006D1C37"/>
    <w:rsid w:val="006D1D66"/>
    <w:rsid w:val="006D214C"/>
    <w:rsid w:val="006D3D81"/>
    <w:rsid w:val="006D3E86"/>
    <w:rsid w:val="006D3F5F"/>
    <w:rsid w:val="006D405A"/>
    <w:rsid w:val="006D4503"/>
    <w:rsid w:val="006D4525"/>
    <w:rsid w:val="006D45DE"/>
    <w:rsid w:val="006D509F"/>
    <w:rsid w:val="006D5651"/>
    <w:rsid w:val="006D5CDC"/>
    <w:rsid w:val="006D5F83"/>
    <w:rsid w:val="006D67DB"/>
    <w:rsid w:val="006D6F77"/>
    <w:rsid w:val="006D7005"/>
    <w:rsid w:val="006D70DC"/>
    <w:rsid w:val="006D7BA7"/>
    <w:rsid w:val="006D7ED7"/>
    <w:rsid w:val="006E00CF"/>
    <w:rsid w:val="006E06AE"/>
    <w:rsid w:val="006E0859"/>
    <w:rsid w:val="006E1270"/>
    <w:rsid w:val="006E1950"/>
    <w:rsid w:val="006E1967"/>
    <w:rsid w:val="006E1982"/>
    <w:rsid w:val="006E2A07"/>
    <w:rsid w:val="006E2AE6"/>
    <w:rsid w:val="006E2E81"/>
    <w:rsid w:val="006E3137"/>
    <w:rsid w:val="006E3543"/>
    <w:rsid w:val="006E48CF"/>
    <w:rsid w:val="006E5201"/>
    <w:rsid w:val="006E644C"/>
    <w:rsid w:val="006E7F1B"/>
    <w:rsid w:val="006F0679"/>
    <w:rsid w:val="006F0DD9"/>
    <w:rsid w:val="006F0EFE"/>
    <w:rsid w:val="006F210F"/>
    <w:rsid w:val="006F2356"/>
    <w:rsid w:val="006F26B5"/>
    <w:rsid w:val="006F2CCC"/>
    <w:rsid w:val="006F3253"/>
    <w:rsid w:val="006F425F"/>
    <w:rsid w:val="006F4395"/>
    <w:rsid w:val="006F4B18"/>
    <w:rsid w:val="006F62F2"/>
    <w:rsid w:val="006F63D2"/>
    <w:rsid w:val="006F65A2"/>
    <w:rsid w:val="006F6A41"/>
    <w:rsid w:val="006F76CE"/>
    <w:rsid w:val="006F7FB6"/>
    <w:rsid w:val="0070055B"/>
    <w:rsid w:val="00701012"/>
    <w:rsid w:val="007014AB"/>
    <w:rsid w:val="007017C6"/>
    <w:rsid w:val="00701DD6"/>
    <w:rsid w:val="00702733"/>
    <w:rsid w:val="00703028"/>
    <w:rsid w:val="0070325A"/>
    <w:rsid w:val="0070417A"/>
    <w:rsid w:val="0070455B"/>
    <w:rsid w:val="00704805"/>
    <w:rsid w:val="00705F82"/>
    <w:rsid w:val="00706B69"/>
    <w:rsid w:val="00706C30"/>
    <w:rsid w:val="00706D3D"/>
    <w:rsid w:val="0071015B"/>
    <w:rsid w:val="00710D06"/>
    <w:rsid w:val="00710FF4"/>
    <w:rsid w:val="00711002"/>
    <w:rsid w:val="00711E55"/>
    <w:rsid w:val="007120D0"/>
    <w:rsid w:val="00712EA1"/>
    <w:rsid w:val="00713606"/>
    <w:rsid w:val="00714AFD"/>
    <w:rsid w:val="00715314"/>
    <w:rsid w:val="00715C32"/>
    <w:rsid w:val="007165FF"/>
    <w:rsid w:val="00716789"/>
    <w:rsid w:val="00717666"/>
    <w:rsid w:val="00717F40"/>
    <w:rsid w:val="00720004"/>
    <w:rsid w:val="00720468"/>
    <w:rsid w:val="00720816"/>
    <w:rsid w:val="00720975"/>
    <w:rsid w:val="00721945"/>
    <w:rsid w:val="00722D13"/>
    <w:rsid w:val="00723E14"/>
    <w:rsid w:val="00723E4D"/>
    <w:rsid w:val="0072421B"/>
    <w:rsid w:val="00725048"/>
    <w:rsid w:val="007250D0"/>
    <w:rsid w:val="00725582"/>
    <w:rsid w:val="0072584B"/>
    <w:rsid w:val="0072590A"/>
    <w:rsid w:val="007259B5"/>
    <w:rsid w:val="00725A5F"/>
    <w:rsid w:val="0072712E"/>
    <w:rsid w:val="00727856"/>
    <w:rsid w:val="00730685"/>
    <w:rsid w:val="00730A62"/>
    <w:rsid w:val="00730F92"/>
    <w:rsid w:val="007325E5"/>
    <w:rsid w:val="00732E05"/>
    <w:rsid w:val="00732F95"/>
    <w:rsid w:val="00733850"/>
    <w:rsid w:val="007348B2"/>
    <w:rsid w:val="00734944"/>
    <w:rsid w:val="00734995"/>
    <w:rsid w:val="00734B77"/>
    <w:rsid w:val="00735304"/>
    <w:rsid w:val="00735FDB"/>
    <w:rsid w:val="00736D77"/>
    <w:rsid w:val="00736ECE"/>
    <w:rsid w:val="00737109"/>
    <w:rsid w:val="00737A26"/>
    <w:rsid w:val="00737AF3"/>
    <w:rsid w:val="00740A88"/>
    <w:rsid w:val="007410B7"/>
    <w:rsid w:val="007416B1"/>
    <w:rsid w:val="00741AF9"/>
    <w:rsid w:val="00741C58"/>
    <w:rsid w:val="0074248E"/>
    <w:rsid w:val="00743769"/>
    <w:rsid w:val="00743AAE"/>
    <w:rsid w:val="00743C37"/>
    <w:rsid w:val="00743E1F"/>
    <w:rsid w:val="007442D0"/>
    <w:rsid w:val="00744B42"/>
    <w:rsid w:val="00744D2C"/>
    <w:rsid w:val="00744E0B"/>
    <w:rsid w:val="00744E83"/>
    <w:rsid w:val="007458FC"/>
    <w:rsid w:val="00746A94"/>
    <w:rsid w:val="00746B2E"/>
    <w:rsid w:val="00746B38"/>
    <w:rsid w:val="00746D68"/>
    <w:rsid w:val="00746EC9"/>
    <w:rsid w:val="00746EDB"/>
    <w:rsid w:val="0074765C"/>
    <w:rsid w:val="00747715"/>
    <w:rsid w:val="00750C01"/>
    <w:rsid w:val="007518D6"/>
    <w:rsid w:val="007519B4"/>
    <w:rsid w:val="00751F39"/>
    <w:rsid w:val="0075201D"/>
    <w:rsid w:val="007520F6"/>
    <w:rsid w:val="0075228C"/>
    <w:rsid w:val="0075285F"/>
    <w:rsid w:val="00753299"/>
    <w:rsid w:val="00753807"/>
    <w:rsid w:val="007539EA"/>
    <w:rsid w:val="00753EC0"/>
    <w:rsid w:val="00754434"/>
    <w:rsid w:val="00755C16"/>
    <w:rsid w:val="00755D7C"/>
    <w:rsid w:val="00756D63"/>
    <w:rsid w:val="00756E11"/>
    <w:rsid w:val="0075780B"/>
    <w:rsid w:val="00757A6A"/>
    <w:rsid w:val="00757AD9"/>
    <w:rsid w:val="00760195"/>
    <w:rsid w:val="00761124"/>
    <w:rsid w:val="00761372"/>
    <w:rsid w:val="007623EC"/>
    <w:rsid w:val="0076250A"/>
    <w:rsid w:val="007629BE"/>
    <w:rsid w:val="00762FD8"/>
    <w:rsid w:val="007639EB"/>
    <w:rsid w:val="00763E71"/>
    <w:rsid w:val="00763FA1"/>
    <w:rsid w:val="00764725"/>
    <w:rsid w:val="00766C2C"/>
    <w:rsid w:val="00766E62"/>
    <w:rsid w:val="007676FE"/>
    <w:rsid w:val="007704AC"/>
    <w:rsid w:val="00770564"/>
    <w:rsid w:val="00770569"/>
    <w:rsid w:val="00770618"/>
    <w:rsid w:val="00770C76"/>
    <w:rsid w:val="00770F4A"/>
    <w:rsid w:val="00771894"/>
    <w:rsid w:val="00772441"/>
    <w:rsid w:val="007725B4"/>
    <w:rsid w:val="00772A8C"/>
    <w:rsid w:val="00772D87"/>
    <w:rsid w:val="0077327E"/>
    <w:rsid w:val="0077375C"/>
    <w:rsid w:val="00773F0E"/>
    <w:rsid w:val="0077429A"/>
    <w:rsid w:val="00774D61"/>
    <w:rsid w:val="00775CBA"/>
    <w:rsid w:val="00776BAC"/>
    <w:rsid w:val="00776D24"/>
    <w:rsid w:val="00777783"/>
    <w:rsid w:val="00777905"/>
    <w:rsid w:val="00777B40"/>
    <w:rsid w:val="00777FFD"/>
    <w:rsid w:val="00780158"/>
    <w:rsid w:val="007802C5"/>
    <w:rsid w:val="00781676"/>
    <w:rsid w:val="007826FF"/>
    <w:rsid w:val="007828A7"/>
    <w:rsid w:val="00782E12"/>
    <w:rsid w:val="0078313F"/>
    <w:rsid w:val="007843FE"/>
    <w:rsid w:val="007844EA"/>
    <w:rsid w:val="00784A6D"/>
    <w:rsid w:val="00784A96"/>
    <w:rsid w:val="00784BC9"/>
    <w:rsid w:val="0078564E"/>
    <w:rsid w:val="00785BAF"/>
    <w:rsid w:val="00785D29"/>
    <w:rsid w:val="00786F7C"/>
    <w:rsid w:val="00786FCF"/>
    <w:rsid w:val="00787626"/>
    <w:rsid w:val="0078778B"/>
    <w:rsid w:val="0079038A"/>
    <w:rsid w:val="00790924"/>
    <w:rsid w:val="00791272"/>
    <w:rsid w:val="0079194F"/>
    <w:rsid w:val="00792129"/>
    <w:rsid w:val="00792B2D"/>
    <w:rsid w:val="00793F70"/>
    <w:rsid w:val="007955CC"/>
    <w:rsid w:val="0079585F"/>
    <w:rsid w:val="00795AAC"/>
    <w:rsid w:val="00796757"/>
    <w:rsid w:val="007971F5"/>
    <w:rsid w:val="00797778"/>
    <w:rsid w:val="007979DE"/>
    <w:rsid w:val="00797FEC"/>
    <w:rsid w:val="007A00F8"/>
    <w:rsid w:val="007A390A"/>
    <w:rsid w:val="007A390C"/>
    <w:rsid w:val="007A4116"/>
    <w:rsid w:val="007A441D"/>
    <w:rsid w:val="007A44C8"/>
    <w:rsid w:val="007A4F40"/>
    <w:rsid w:val="007A52E7"/>
    <w:rsid w:val="007A5955"/>
    <w:rsid w:val="007A59B7"/>
    <w:rsid w:val="007A6C88"/>
    <w:rsid w:val="007A72F9"/>
    <w:rsid w:val="007A736B"/>
    <w:rsid w:val="007B0741"/>
    <w:rsid w:val="007B0B6B"/>
    <w:rsid w:val="007B232C"/>
    <w:rsid w:val="007B29BA"/>
    <w:rsid w:val="007B3C1F"/>
    <w:rsid w:val="007B405F"/>
    <w:rsid w:val="007B4899"/>
    <w:rsid w:val="007B5937"/>
    <w:rsid w:val="007B5A1C"/>
    <w:rsid w:val="007B5FDA"/>
    <w:rsid w:val="007B6E18"/>
    <w:rsid w:val="007B71CE"/>
    <w:rsid w:val="007B76C2"/>
    <w:rsid w:val="007B77BC"/>
    <w:rsid w:val="007B7A96"/>
    <w:rsid w:val="007C0451"/>
    <w:rsid w:val="007C0CEC"/>
    <w:rsid w:val="007C17B4"/>
    <w:rsid w:val="007C239C"/>
    <w:rsid w:val="007C3676"/>
    <w:rsid w:val="007C370B"/>
    <w:rsid w:val="007C38B5"/>
    <w:rsid w:val="007C38F0"/>
    <w:rsid w:val="007C3E37"/>
    <w:rsid w:val="007C3E99"/>
    <w:rsid w:val="007C4CA9"/>
    <w:rsid w:val="007C50BA"/>
    <w:rsid w:val="007C5CF3"/>
    <w:rsid w:val="007C60E5"/>
    <w:rsid w:val="007C61A9"/>
    <w:rsid w:val="007C6FF3"/>
    <w:rsid w:val="007C7A28"/>
    <w:rsid w:val="007D0BF5"/>
    <w:rsid w:val="007D109C"/>
    <w:rsid w:val="007D198C"/>
    <w:rsid w:val="007D1BE8"/>
    <w:rsid w:val="007D37F9"/>
    <w:rsid w:val="007D5A0C"/>
    <w:rsid w:val="007D5C27"/>
    <w:rsid w:val="007D66D1"/>
    <w:rsid w:val="007D698B"/>
    <w:rsid w:val="007D75C5"/>
    <w:rsid w:val="007D7876"/>
    <w:rsid w:val="007E041E"/>
    <w:rsid w:val="007E0854"/>
    <w:rsid w:val="007E1B62"/>
    <w:rsid w:val="007E1CEE"/>
    <w:rsid w:val="007E225E"/>
    <w:rsid w:val="007E2A8C"/>
    <w:rsid w:val="007E2F58"/>
    <w:rsid w:val="007E329F"/>
    <w:rsid w:val="007E32FD"/>
    <w:rsid w:val="007E38D3"/>
    <w:rsid w:val="007E3BB1"/>
    <w:rsid w:val="007E3DA0"/>
    <w:rsid w:val="007E463B"/>
    <w:rsid w:val="007E5434"/>
    <w:rsid w:val="007E6998"/>
    <w:rsid w:val="007E6EAA"/>
    <w:rsid w:val="007F03C2"/>
    <w:rsid w:val="007F0BFD"/>
    <w:rsid w:val="007F0D24"/>
    <w:rsid w:val="007F0F18"/>
    <w:rsid w:val="007F2708"/>
    <w:rsid w:val="007F27D3"/>
    <w:rsid w:val="007F334A"/>
    <w:rsid w:val="007F3386"/>
    <w:rsid w:val="007F3428"/>
    <w:rsid w:val="007F4507"/>
    <w:rsid w:val="007F49C6"/>
    <w:rsid w:val="007F4FCF"/>
    <w:rsid w:val="007F5A02"/>
    <w:rsid w:val="007F5D03"/>
    <w:rsid w:val="007F6245"/>
    <w:rsid w:val="007F6A26"/>
    <w:rsid w:val="007F6C31"/>
    <w:rsid w:val="007F7C82"/>
    <w:rsid w:val="008007A6"/>
    <w:rsid w:val="00801673"/>
    <w:rsid w:val="00802373"/>
    <w:rsid w:val="00802CAA"/>
    <w:rsid w:val="00802D58"/>
    <w:rsid w:val="00803AE3"/>
    <w:rsid w:val="0080460C"/>
    <w:rsid w:val="008046FD"/>
    <w:rsid w:val="008048D7"/>
    <w:rsid w:val="00804EBA"/>
    <w:rsid w:val="008051F4"/>
    <w:rsid w:val="008062A2"/>
    <w:rsid w:val="008078E7"/>
    <w:rsid w:val="00811331"/>
    <w:rsid w:val="00811B76"/>
    <w:rsid w:val="00811BD3"/>
    <w:rsid w:val="00813E0B"/>
    <w:rsid w:val="00814C9D"/>
    <w:rsid w:val="008159D7"/>
    <w:rsid w:val="00815A2A"/>
    <w:rsid w:val="00815CF2"/>
    <w:rsid w:val="0081600D"/>
    <w:rsid w:val="008169C3"/>
    <w:rsid w:val="008169E9"/>
    <w:rsid w:val="008170D3"/>
    <w:rsid w:val="00817D27"/>
    <w:rsid w:val="008210F4"/>
    <w:rsid w:val="00821622"/>
    <w:rsid w:val="00821D3F"/>
    <w:rsid w:val="00821FC9"/>
    <w:rsid w:val="00822E27"/>
    <w:rsid w:val="00823346"/>
    <w:rsid w:val="00823500"/>
    <w:rsid w:val="00823914"/>
    <w:rsid w:val="00823CF9"/>
    <w:rsid w:val="00823DD8"/>
    <w:rsid w:val="00823E62"/>
    <w:rsid w:val="0082443B"/>
    <w:rsid w:val="00824879"/>
    <w:rsid w:val="00824A76"/>
    <w:rsid w:val="00824B9D"/>
    <w:rsid w:val="00824D2F"/>
    <w:rsid w:val="00824DFF"/>
    <w:rsid w:val="008263D1"/>
    <w:rsid w:val="008266C1"/>
    <w:rsid w:val="00826BBA"/>
    <w:rsid w:val="00826BBD"/>
    <w:rsid w:val="008275E0"/>
    <w:rsid w:val="00827C8B"/>
    <w:rsid w:val="0083033A"/>
    <w:rsid w:val="00830E56"/>
    <w:rsid w:val="0083114D"/>
    <w:rsid w:val="008317A7"/>
    <w:rsid w:val="00831943"/>
    <w:rsid w:val="00831CF6"/>
    <w:rsid w:val="0083213A"/>
    <w:rsid w:val="0083287D"/>
    <w:rsid w:val="00832C1C"/>
    <w:rsid w:val="00833D48"/>
    <w:rsid w:val="008341E9"/>
    <w:rsid w:val="00834513"/>
    <w:rsid w:val="0083552C"/>
    <w:rsid w:val="008357DD"/>
    <w:rsid w:val="00835B60"/>
    <w:rsid w:val="00835DD8"/>
    <w:rsid w:val="0083603A"/>
    <w:rsid w:val="00836FE1"/>
    <w:rsid w:val="00837BF6"/>
    <w:rsid w:val="00840325"/>
    <w:rsid w:val="0084105B"/>
    <w:rsid w:val="0084259C"/>
    <w:rsid w:val="00842757"/>
    <w:rsid w:val="0084290A"/>
    <w:rsid w:val="0084363D"/>
    <w:rsid w:val="00843980"/>
    <w:rsid w:val="00843EF8"/>
    <w:rsid w:val="00844266"/>
    <w:rsid w:val="00844504"/>
    <w:rsid w:val="00844532"/>
    <w:rsid w:val="0084628A"/>
    <w:rsid w:val="008464BB"/>
    <w:rsid w:val="00846E3E"/>
    <w:rsid w:val="008470FD"/>
    <w:rsid w:val="00847F76"/>
    <w:rsid w:val="0085110F"/>
    <w:rsid w:val="0085176B"/>
    <w:rsid w:val="00851A9E"/>
    <w:rsid w:val="00852768"/>
    <w:rsid w:val="00852929"/>
    <w:rsid w:val="00853449"/>
    <w:rsid w:val="00853A3B"/>
    <w:rsid w:val="00853FA5"/>
    <w:rsid w:val="00854A72"/>
    <w:rsid w:val="00854F26"/>
    <w:rsid w:val="00855B13"/>
    <w:rsid w:val="0085667D"/>
    <w:rsid w:val="00856AB8"/>
    <w:rsid w:val="008571E3"/>
    <w:rsid w:val="00860701"/>
    <w:rsid w:val="00861066"/>
    <w:rsid w:val="00861243"/>
    <w:rsid w:val="0086145F"/>
    <w:rsid w:val="008616FE"/>
    <w:rsid w:val="00862305"/>
    <w:rsid w:val="00862729"/>
    <w:rsid w:val="00862ABE"/>
    <w:rsid w:val="00863130"/>
    <w:rsid w:val="008635C0"/>
    <w:rsid w:val="008639E5"/>
    <w:rsid w:val="008643CB"/>
    <w:rsid w:val="00864553"/>
    <w:rsid w:val="00864880"/>
    <w:rsid w:val="00865CD4"/>
    <w:rsid w:val="008662E5"/>
    <w:rsid w:val="00866530"/>
    <w:rsid w:val="008677E5"/>
    <w:rsid w:val="008701A3"/>
    <w:rsid w:val="008706C0"/>
    <w:rsid w:val="00870E99"/>
    <w:rsid w:val="00871988"/>
    <w:rsid w:val="00871F47"/>
    <w:rsid w:val="00872088"/>
    <w:rsid w:val="008724D4"/>
    <w:rsid w:val="00872B75"/>
    <w:rsid w:val="008730D6"/>
    <w:rsid w:val="008736B0"/>
    <w:rsid w:val="00873899"/>
    <w:rsid w:val="0087563E"/>
    <w:rsid w:val="00875DE8"/>
    <w:rsid w:val="008768F4"/>
    <w:rsid w:val="0088038A"/>
    <w:rsid w:val="00880829"/>
    <w:rsid w:val="008826C3"/>
    <w:rsid w:val="0088271B"/>
    <w:rsid w:val="00883631"/>
    <w:rsid w:val="008845A3"/>
    <w:rsid w:val="008846DC"/>
    <w:rsid w:val="00884824"/>
    <w:rsid w:val="008851A9"/>
    <w:rsid w:val="0088532A"/>
    <w:rsid w:val="0088557B"/>
    <w:rsid w:val="008855DE"/>
    <w:rsid w:val="008856BD"/>
    <w:rsid w:val="00886215"/>
    <w:rsid w:val="008867AB"/>
    <w:rsid w:val="00886839"/>
    <w:rsid w:val="00886A55"/>
    <w:rsid w:val="00891A2A"/>
    <w:rsid w:val="00891EE0"/>
    <w:rsid w:val="0089259E"/>
    <w:rsid w:val="00892AD8"/>
    <w:rsid w:val="008932E1"/>
    <w:rsid w:val="00893309"/>
    <w:rsid w:val="00893B2B"/>
    <w:rsid w:val="00893BA7"/>
    <w:rsid w:val="0089404A"/>
    <w:rsid w:val="00894DF4"/>
    <w:rsid w:val="0089585C"/>
    <w:rsid w:val="00895C43"/>
    <w:rsid w:val="00895DDD"/>
    <w:rsid w:val="00896E8F"/>
    <w:rsid w:val="00896F83"/>
    <w:rsid w:val="0089762E"/>
    <w:rsid w:val="00897C43"/>
    <w:rsid w:val="008A015D"/>
    <w:rsid w:val="008A0A1A"/>
    <w:rsid w:val="008A0D0F"/>
    <w:rsid w:val="008A0F9E"/>
    <w:rsid w:val="008A1455"/>
    <w:rsid w:val="008A27A9"/>
    <w:rsid w:val="008A2858"/>
    <w:rsid w:val="008A2CCB"/>
    <w:rsid w:val="008A2EFD"/>
    <w:rsid w:val="008A510C"/>
    <w:rsid w:val="008A59E6"/>
    <w:rsid w:val="008A59E9"/>
    <w:rsid w:val="008A6115"/>
    <w:rsid w:val="008A6516"/>
    <w:rsid w:val="008A6722"/>
    <w:rsid w:val="008A69B3"/>
    <w:rsid w:val="008A6B56"/>
    <w:rsid w:val="008A7077"/>
    <w:rsid w:val="008A796E"/>
    <w:rsid w:val="008A79F0"/>
    <w:rsid w:val="008A7FC5"/>
    <w:rsid w:val="008B0890"/>
    <w:rsid w:val="008B2CDB"/>
    <w:rsid w:val="008B38B9"/>
    <w:rsid w:val="008B491C"/>
    <w:rsid w:val="008B4E1D"/>
    <w:rsid w:val="008B50D1"/>
    <w:rsid w:val="008B5503"/>
    <w:rsid w:val="008B6474"/>
    <w:rsid w:val="008B6508"/>
    <w:rsid w:val="008B6B6C"/>
    <w:rsid w:val="008B6F55"/>
    <w:rsid w:val="008B7585"/>
    <w:rsid w:val="008B7ACF"/>
    <w:rsid w:val="008C08D4"/>
    <w:rsid w:val="008C1277"/>
    <w:rsid w:val="008C225D"/>
    <w:rsid w:val="008C2EA3"/>
    <w:rsid w:val="008C485D"/>
    <w:rsid w:val="008C5312"/>
    <w:rsid w:val="008C58D4"/>
    <w:rsid w:val="008C6909"/>
    <w:rsid w:val="008C69D8"/>
    <w:rsid w:val="008C6D2A"/>
    <w:rsid w:val="008C734B"/>
    <w:rsid w:val="008D028B"/>
    <w:rsid w:val="008D0861"/>
    <w:rsid w:val="008D094B"/>
    <w:rsid w:val="008D0B12"/>
    <w:rsid w:val="008D0CC9"/>
    <w:rsid w:val="008D0D4E"/>
    <w:rsid w:val="008D0EF5"/>
    <w:rsid w:val="008D1E1E"/>
    <w:rsid w:val="008D2939"/>
    <w:rsid w:val="008D2BA7"/>
    <w:rsid w:val="008D323B"/>
    <w:rsid w:val="008D356B"/>
    <w:rsid w:val="008D3DF0"/>
    <w:rsid w:val="008D4277"/>
    <w:rsid w:val="008D4EEF"/>
    <w:rsid w:val="008D568F"/>
    <w:rsid w:val="008D5F2F"/>
    <w:rsid w:val="008D67E9"/>
    <w:rsid w:val="008D67F1"/>
    <w:rsid w:val="008D6A83"/>
    <w:rsid w:val="008D6D52"/>
    <w:rsid w:val="008D79A1"/>
    <w:rsid w:val="008E02DC"/>
    <w:rsid w:val="008E0438"/>
    <w:rsid w:val="008E0BE6"/>
    <w:rsid w:val="008E12CF"/>
    <w:rsid w:val="008E1308"/>
    <w:rsid w:val="008E234A"/>
    <w:rsid w:val="008E41B4"/>
    <w:rsid w:val="008E4761"/>
    <w:rsid w:val="008E49CE"/>
    <w:rsid w:val="008E50F9"/>
    <w:rsid w:val="008E5A2B"/>
    <w:rsid w:val="008E5E16"/>
    <w:rsid w:val="008E63D1"/>
    <w:rsid w:val="008E63DD"/>
    <w:rsid w:val="008E6BDB"/>
    <w:rsid w:val="008E778A"/>
    <w:rsid w:val="008F0286"/>
    <w:rsid w:val="008F08A4"/>
    <w:rsid w:val="008F09E6"/>
    <w:rsid w:val="008F101A"/>
    <w:rsid w:val="008F1021"/>
    <w:rsid w:val="008F231F"/>
    <w:rsid w:val="008F3AC5"/>
    <w:rsid w:val="008F40CF"/>
    <w:rsid w:val="008F454B"/>
    <w:rsid w:val="008F484B"/>
    <w:rsid w:val="008F634B"/>
    <w:rsid w:val="008F6C06"/>
    <w:rsid w:val="008F7933"/>
    <w:rsid w:val="008F7D23"/>
    <w:rsid w:val="009001A3"/>
    <w:rsid w:val="00900BF5"/>
    <w:rsid w:val="009012B3"/>
    <w:rsid w:val="00901537"/>
    <w:rsid w:val="009016A1"/>
    <w:rsid w:val="00902CFC"/>
    <w:rsid w:val="00902ED6"/>
    <w:rsid w:val="009054DE"/>
    <w:rsid w:val="00905973"/>
    <w:rsid w:val="0090620A"/>
    <w:rsid w:val="00906EF7"/>
    <w:rsid w:val="009109A6"/>
    <w:rsid w:val="00910B37"/>
    <w:rsid w:val="009117F8"/>
    <w:rsid w:val="00911EDD"/>
    <w:rsid w:val="00913578"/>
    <w:rsid w:val="0091397D"/>
    <w:rsid w:val="00913E0B"/>
    <w:rsid w:val="00913E8C"/>
    <w:rsid w:val="0091519C"/>
    <w:rsid w:val="00915B9F"/>
    <w:rsid w:val="00915D0B"/>
    <w:rsid w:val="0091735E"/>
    <w:rsid w:val="00917549"/>
    <w:rsid w:val="00917640"/>
    <w:rsid w:val="0091786E"/>
    <w:rsid w:val="0092078A"/>
    <w:rsid w:val="009209D8"/>
    <w:rsid w:val="009221B6"/>
    <w:rsid w:val="00922545"/>
    <w:rsid w:val="00922792"/>
    <w:rsid w:val="00923493"/>
    <w:rsid w:val="009234F9"/>
    <w:rsid w:val="009236C1"/>
    <w:rsid w:val="00923859"/>
    <w:rsid w:val="00923DA4"/>
    <w:rsid w:val="00924229"/>
    <w:rsid w:val="00924C83"/>
    <w:rsid w:val="00926004"/>
    <w:rsid w:val="00926B12"/>
    <w:rsid w:val="00927705"/>
    <w:rsid w:val="00930316"/>
    <w:rsid w:val="00930F48"/>
    <w:rsid w:val="0093107D"/>
    <w:rsid w:val="00931A47"/>
    <w:rsid w:val="00931AB3"/>
    <w:rsid w:val="00931E08"/>
    <w:rsid w:val="0093209D"/>
    <w:rsid w:val="009320AF"/>
    <w:rsid w:val="009322E5"/>
    <w:rsid w:val="00932E01"/>
    <w:rsid w:val="00933FEE"/>
    <w:rsid w:val="00935509"/>
    <w:rsid w:val="009357F5"/>
    <w:rsid w:val="009358AC"/>
    <w:rsid w:val="00936357"/>
    <w:rsid w:val="00936C69"/>
    <w:rsid w:val="009379FD"/>
    <w:rsid w:val="00937E13"/>
    <w:rsid w:val="0094054B"/>
    <w:rsid w:val="00940665"/>
    <w:rsid w:val="009407C0"/>
    <w:rsid w:val="009421E9"/>
    <w:rsid w:val="009422EB"/>
    <w:rsid w:val="0094270D"/>
    <w:rsid w:val="00942C85"/>
    <w:rsid w:val="0094358E"/>
    <w:rsid w:val="00943C93"/>
    <w:rsid w:val="00943F10"/>
    <w:rsid w:val="009444F4"/>
    <w:rsid w:val="00944A31"/>
    <w:rsid w:val="00944C96"/>
    <w:rsid w:val="0094507D"/>
    <w:rsid w:val="009450A9"/>
    <w:rsid w:val="009450C0"/>
    <w:rsid w:val="009451B3"/>
    <w:rsid w:val="0094530D"/>
    <w:rsid w:val="009455BD"/>
    <w:rsid w:val="00945F24"/>
    <w:rsid w:val="0094676D"/>
    <w:rsid w:val="00946CA4"/>
    <w:rsid w:val="00946E20"/>
    <w:rsid w:val="0094758C"/>
    <w:rsid w:val="009479AE"/>
    <w:rsid w:val="00947ABD"/>
    <w:rsid w:val="009500BE"/>
    <w:rsid w:val="0095032B"/>
    <w:rsid w:val="00950578"/>
    <w:rsid w:val="00951800"/>
    <w:rsid w:val="00951BF9"/>
    <w:rsid w:val="00951E52"/>
    <w:rsid w:val="00951FE1"/>
    <w:rsid w:val="0095280F"/>
    <w:rsid w:val="00952D8A"/>
    <w:rsid w:val="00953998"/>
    <w:rsid w:val="00953DA4"/>
    <w:rsid w:val="00956CBF"/>
    <w:rsid w:val="00957D45"/>
    <w:rsid w:val="00960193"/>
    <w:rsid w:val="009604D5"/>
    <w:rsid w:val="009604DA"/>
    <w:rsid w:val="00960567"/>
    <w:rsid w:val="00960C44"/>
    <w:rsid w:val="00960D03"/>
    <w:rsid w:val="00961320"/>
    <w:rsid w:val="009616DB"/>
    <w:rsid w:val="009621A7"/>
    <w:rsid w:val="00962AEB"/>
    <w:rsid w:val="0096326C"/>
    <w:rsid w:val="00963C67"/>
    <w:rsid w:val="00965811"/>
    <w:rsid w:val="00965C4C"/>
    <w:rsid w:val="00966ACA"/>
    <w:rsid w:val="00966BB3"/>
    <w:rsid w:val="00967073"/>
    <w:rsid w:val="009670D5"/>
    <w:rsid w:val="00967A56"/>
    <w:rsid w:val="00967F99"/>
    <w:rsid w:val="00970DCF"/>
    <w:rsid w:val="0097132C"/>
    <w:rsid w:val="00971727"/>
    <w:rsid w:val="009717EF"/>
    <w:rsid w:val="00971995"/>
    <w:rsid w:val="00971D88"/>
    <w:rsid w:val="00971FF6"/>
    <w:rsid w:val="00972013"/>
    <w:rsid w:val="00972C89"/>
    <w:rsid w:val="00973F5B"/>
    <w:rsid w:val="009742BD"/>
    <w:rsid w:val="009744E1"/>
    <w:rsid w:val="0097598B"/>
    <w:rsid w:val="00975B07"/>
    <w:rsid w:val="00976301"/>
    <w:rsid w:val="00976737"/>
    <w:rsid w:val="00976CBC"/>
    <w:rsid w:val="00977540"/>
    <w:rsid w:val="00977D4D"/>
    <w:rsid w:val="009802E4"/>
    <w:rsid w:val="00980A36"/>
    <w:rsid w:val="009815E3"/>
    <w:rsid w:val="00981819"/>
    <w:rsid w:val="009821AF"/>
    <w:rsid w:val="0098241D"/>
    <w:rsid w:val="00982A4B"/>
    <w:rsid w:val="009831E4"/>
    <w:rsid w:val="00983445"/>
    <w:rsid w:val="009839AF"/>
    <w:rsid w:val="0098499D"/>
    <w:rsid w:val="0098552A"/>
    <w:rsid w:val="0098613D"/>
    <w:rsid w:val="009867D2"/>
    <w:rsid w:val="00986E9F"/>
    <w:rsid w:val="0098711F"/>
    <w:rsid w:val="0098746D"/>
    <w:rsid w:val="00987771"/>
    <w:rsid w:val="00987AB9"/>
    <w:rsid w:val="009901CB"/>
    <w:rsid w:val="009904F2"/>
    <w:rsid w:val="00990CCB"/>
    <w:rsid w:val="009915CA"/>
    <w:rsid w:val="00991B38"/>
    <w:rsid w:val="009926B8"/>
    <w:rsid w:val="00993AA1"/>
    <w:rsid w:val="00994470"/>
    <w:rsid w:val="009952A1"/>
    <w:rsid w:val="00995323"/>
    <w:rsid w:val="00995475"/>
    <w:rsid w:val="00997761"/>
    <w:rsid w:val="00997921"/>
    <w:rsid w:val="00997A93"/>
    <w:rsid w:val="009A01D7"/>
    <w:rsid w:val="009A069C"/>
    <w:rsid w:val="009A2EAE"/>
    <w:rsid w:val="009A3F5A"/>
    <w:rsid w:val="009A4301"/>
    <w:rsid w:val="009A48D5"/>
    <w:rsid w:val="009A4AC7"/>
    <w:rsid w:val="009A4C79"/>
    <w:rsid w:val="009A5618"/>
    <w:rsid w:val="009A63E7"/>
    <w:rsid w:val="009A66CE"/>
    <w:rsid w:val="009A6A41"/>
    <w:rsid w:val="009A77F2"/>
    <w:rsid w:val="009A77F3"/>
    <w:rsid w:val="009A78E7"/>
    <w:rsid w:val="009A7D3A"/>
    <w:rsid w:val="009B0D80"/>
    <w:rsid w:val="009B11D6"/>
    <w:rsid w:val="009B2597"/>
    <w:rsid w:val="009B26D3"/>
    <w:rsid w:val="009B3D44"/>
    <w:rsid w:val="009B3D68"/>
    <w:rsid w:val="009B3E12"/>
    <w:rsid w:val="009B40B4"/>
    <w:rsid w:val="009B4138"/>
    <w:rsid w:val="009B4429"/>
    <w:rsid w:val="009B4C25"/>
    <w:rsid w:val="009B5569"/>
    <w:rsid w:val="009B5BE2"/>
    <w:rsid w:val="009B6146"/>
    <w:rsid w:val="009B72AB"/>
    <w:rsid w:val="009B7E68"/>
    <w:rsid w:val="009C005D"/>
    <w:rsid w:val="009C09FB"/>
    <w:rsid w:val="009C1246"/>
    <w:rsid w:val="009C16B0"/>
    <w:rsid w:val="009C1C67"/>
    <w:rsid w:val="009C1E4A"/>
    <w:rsid w:val="009C2518"/>
    <w:rsid w:val="009C26A2"/>
    <w:rsid w:val="009C28EA"/>
    <w:rsid w:val="009C4027"/>
    <w:rsid w:val="009C48EE"/>
    <w:rsid w:val="009C4A20"/>
    <w:rsid w:val="009C4DFF"/>
    <w:rsid w:val="009C5079"/>
    <w:rsid w:val="009C5276"/>
    <w:rsid w:val="009C6CC8"/>
    <w:rsid w:val="009C7168"/>
    <w:rsid w:val="009C72C1"/>
    <w:rsid w:val="009D0FCA"/>
    <w:rsid w:val="009D131A"/>
    <w:rsid w:val="009D1E32"/>
    <w:rsid w:val="009D2D1D"/>
    <w:rsid w:val="009D2F7B"/>
    <w:rsid w:val="009D2FD1"/>
    <w:rsid w:val="009D325E"/>
    <w:rsid w:val="009D343E"/>
    <w:rsid w:val="009D4779"/>
    <w:rsid w:val="009D5D53"/>
    <w:rsid w:val="009D5FF0"/>
    <w:rsid w:val="009D6235"/>
    <w:rsid w:val="009D68EE"/>
    <w:rsid w:val="009D6BDA"/>
    <w:rsid w:val="009D731A"/>
    <w:rsid w:val="009D7340"/>
    <w:rsid w:val="009D7B36"/>
    <w:rsid w:val="009D7EDE"/>
    <w:rsid w:val="009E1F48"/>
    <w:rsid w:val="009E262D"/>
    <w:rsid w:val="009E2758"/>
    <w:rsid w:val="009E27DA"/>
    <w:rsid w:val="009E2B71"/>
    <w:rsid w:val="009E2D25"/>
    <w:rsid w:val="009E2E8F"/>
    <w:rsid w:val="009E3259"/>
    <w:rsid w:val="009E44CE"/>
    <w:rsid w:val="009E49A3"/>
    <w:rsid w:val="009E550B"/>
    <w:rsid w:val="009E5738"/>
    <w:rsid w:val="009E594C"/>
    <w:rsid w:val="009E594E"/>
    <w:rsid w:val="009E60B8"/>
    <w:rsid w:val="009E721A"/>
    <w:rsid w:val="009E74CF"/>
    <w:rsid w:val="009F1993"/>
    <w:rsid w:val="009F2211"/>
    <w:rsid w:val="009F3165"/>
    <w:rsid w:val="009F3830"/>
    <w:rsid w:val="009F3E74"/>
    <w:rsid w:val="009F6564"/>
    <w:rsid w:val="009F65BE"/>
    <w:rsid w:val="009F7A25"/>
    <w:rsid w:val="00A006FA"/>
    <w:rsid w:val="00A00E87"/>
    <w:rsid w:val="00A014CE"/>
    <w:rsid w:val="00A01662"/>
    <w:rsid w:val="00A020C9"/>
    <w:rsid w:val="00A025E9"/>
    <w:rsid w:val="00A028EE"/>
    <w:rsid w:val="00A06349"/>
    <w:rsid w:val="00A07C5C"/>
    <w:rsid w:val="00A07EC7"/>
    <w:rsid w:val="00A105D0"/>
    <w:rsid w:val="00A10780"/>
    <w:rsid w:val="00A10AE0"/>
    <w:rsid w:val="00A1227E"/>
    <w:rsid w:val="00A1284A"/>
    <w:rsid w:val="00A138BE"/>
    <w:rsid w:val="00A13930"/>
    <w:rsid w:val="00A13D2B"/>
    <w:rsid w:val="00A14964"/>
    <w:rsid w:val="00A14CC6"/>
    <w:rsid w:val="00A14DDB"/>
    <w:rsid w:val="00A176AA"/>
    <w:rsid w:val="00A17739"/>
    <w:rsid w:val="00A17D4A"/>
    <w:rsid w:val="00A17FA1"/>
    <w:rsid w:val="00A204A5"/>
    <w:rsid w:val="00A20892"/>
    <w:rsid w:val="00A20A66"/>
    <w:rsid w:val="00A215C7"/>
    <w:rsid w:val="00A2176E"/>
    <w:rsid w:val="00A22021"/>
    <w:rsid w:val="00A2273B"/>
    <w:rsid w:val="00A2298F"/>
    <w:rsid w:val="00A233E0"/>
    <w:rsid w:val="00A237A0"/>
    <w:rsid w:val="00A24858"/>
    <w:rsid w:val="00A24B9F"/>
    <w:rsid w:val="00A24C4D"/>
    <w:rsid w:val="00A24EFD"/>
    <w:rsid w:val="00A24F8D"/>
    <w:rsid w:val="00A2532B"/>
    <w:rsid w:val="00A253EE"/>
    <w:rsid w:val="00A26DB3"/>
    <w:rsid w:val="00A278CF"/>
    <w:rsid w:val="00A279E2"/>
    <w:rsid w:val="00A27E26"/>
    <w:rsid w:val="00A30131"/>
    <w:rsid w:val="00A3067B"/>
    <w:rsid w:val="00A3067F"/>
    <w:rsid w:val="00A30902"/>
    <w:rsid w:val="00A310B0"/>
    <w:rsid w:val="00A31C04"/>
    <w:rsid w:val="00A3267A"/>
    <w:rsid w:val="00A33254"/>
    <w:rsid w:val="00A354FE"/>
    <w:rsid w:val="00A40216"/>
    <w:rsid w:val="00A402DD"/>
    <w:rsid w:val="00A4090D"/>
    <w:rsid w:val="00A42257"/>
    <w:rsid w:val="00A426A4"/>
    <w:rsid w:val="00A44FF5"/>
    <w:rsid w:val="00A45EB7"/>
    <w:rsid w:val="00A4657F"/>
    <w:rsid w:val="00A4695A"/>
    <w:rsid w:val="00A519F5"/>
    <w:rsid w:val="00A51A81"/>
    <w:rsid w:val="00A5212B"/>
    <w:rsid w:val="00A523DF"/>
    <w:rsid w:val="00A52A7D"/>
    <w:rsid w:val="00A53692"/>
    <w:rsid w:val="00A53721"/>
    <w:rsid w:val="00A53FD3"/>
    <w:rsid w:val="00A54982"/>
    <w:rsid w:val="00A5590F"/>
    <w:rsid w:val="00A5597F"/>
    <w:rsid w:val="00A55C16"/>
    <w:rsid w:val="00A55DA4"/>
    <w:rsid w:val="00A5651E"/>
    <w:rsid w:val="00A56532"/>
    <w:rsid w:val="00A56FEB"/>
    <w:rsid w:val="00A606B6"/>
    <w:rsid w:val="00A60C6D"/>
    <w:rsid w:val="00A615BF"/>
    <w:rsid w:val="00A619A4"/>
    <w:rsid w:val="00A62A42"/>
    <w:rsid w:val="00A63190"/>
    <w:rsid w:val="00A64DDA"/>
    <w:rsid w:val="00A667F3"/>
    <w:rsid w:val="00A66929"/>
    <w:rsid w:val="00A66B0B"/>
    <w:rsid w:val="00A66D7A"/>
    <w:rsid w:val="00A66E7C"/>
    <w:rsid w:val="00A7030B"/>
    <w:rsid w:val="00A7071C"/>
    <w:rsid w:val="00A70D43"/>
    <w:rsid w:val="00A70D7E"/>
    <w:rsid w:val="00A719B8"/>
    <w:rsid w:val="00A71F79"/>
    <w:rsid w:val="00A720D9"/>
    <w:rsid w:val="00A72767"/>
    <w:rsid w:val="00A72E4C"/>
    <w:rsid w:val="00A73247"/>
    <w:rsid w:val="00A73DB2"/>
    <w:rsid w:val="00A740D1"/>
    <w:rsid w:val="00A74414"/>
    <w:rsid w:val="00A747AE"/>
    <w:rsid w:val="00A75634"/>
    <w:rsid w:val="00A76C19"/>
    <w:rsid w:val="00A77623"/>
    <w:rsid w:val="00A804E3"/>
    <w:rsid w:val="00A8075D"/>
    <w:rsid w:val="00A807D7"/>
    <w:rsid w:val="00A818BA"/>
    <w:rsid w:val="00A81C68"/>
    <w:rsid w:val="00A81D85"/>
    <w:rsid w:val="00A82102"/>
    <w:rsid w:val="00A8221D"/>
    <w:rsid w:val="00A8225D"/>
    <w:rsid w:val="00A82FD7"/>
    <w:rsid w:val="00A8311C"/>
    <w:rsid w:val="00A832EC"/>
    <w:rsid w:val="00A84E62"/>
    <w:rsid w:val="00A84F32"/>
    <w:rsid w:val="00A851CE"/>
    <w:rsid w:val="00A859C9"/>
    <w:rsid w:val="00A8698C"/>
    <w:rsid w:val="00A878AD"/>
    <w:rsid w:val="00A87CF2"/>
    <w:rsid w:val="00A906CB"/>
    <w:rsid w:val="00A90E51"/>
    <w:rsid w:val="00A920A1"/>
    <w:rsid w:val="00A92142"/>
    <w:rsid w:val="00A92BC2"/>
    <w:rsid w:val="00A92C35"/>
    <w:rsid w:val="00A93096"/>
    <w:rsid w:val="00A93E68"/>
    <w:rsid w:val="00A94365"/>
    <w:rsid w:val="00A95467"/>
    <w:rsid w:val="00A956E6"/>
    <w:rsid w:val="00A972EB"/>
    <w:rsid w:val="00A97973"/>
    <w:rsid w:val="00A97E92"/>
    <w:rsid w:val="00AA0B3C"/>
    <w:rsid w:val="00AA0FD7"/>
    <w:rsid w:val="00AA126F"/>
    <w:rsid w:val="00AA345C"/>
    <w:rsid w:val="00AA3941"/>
    <w:rsid w:val="00AA4998"/>
    <w:rsid w:val="00AA4B4C"/>
    <w:rsid w:val="00AA4C8F"/>
    <w:rsid w:val="00AA7A45"/>
    <w:rsid w:val="00AB03F1"/>
    <w:rsid w:val="00AB0A10"/>
    <w:rsid w:val="00AB190B"/>
    <w:rsid w:val="00AB19B3"/>
    <w:rsid w:val="00AB1BC5"/>
    <w:rsid w:val="00AB1BDF"/>
    <w:rsid w:val="00AB1E8B"/>
    <w:rsid w:val="00AB298C"/>
    <w:rsid w:val="00AB3945"/>
    <w:rsid w:val="00AB43B6"/>
    <w:rsid w:val="00AB44D7"/>
    <w:rsid w:val="00AB45AF"/>
    <w:rsid w:val="00AB45C1"/>
    <w:rsid w:val="00AB47ED"/>
    <w:rsid w:val="00AB535E"/>
    <w:rsid w:val="00AB5C19"/>
    <w:rsid w:val="00AB5F44"/>
    <w:rsid w:val="00AB666C"/>
    <w:rsid w:val="00AB6FF2"/>
    <w:rsid w:val="00AB7339"/>
    <w:rsid w:val="00AC0376"/>
    <w:rsid w:val="00AC0B23"/>
    <w:rsid w:val="00AC0DE5"/>
    <w:rsid w:val="00AC0E32"/>
    <w:rsid w:val="00AC174E"/>
    <w:rsid w:val="00AC1A00"/>
    <w:rsid w:val="00AC1E0F"/>
    <w:rsid w:val="00AC1E95"/>
    <w:rsid w:val="00AC31C8"/>
    <w:rsid w:val="00AC37DF"/>
    <w:rsid w:val="00AC44E1"/>
    <w:rsid w:val="00AC473E"/>
    <w:rsid w:val="00AC4A40"/>
    <w:rsid w:val="00AC5AAD"/>
    <w:rsid w:val="00AC64D1"/>
    <w:rsid w:val="00AC6A41"/>
    <w:rsid w:val="00AC6EF3"/>
    <w:rsid w:val="00AC6FB1"/>
    <w:rsid w:val="00AC7739"/>
    <w:rsid w:val="00AC7AA3"/>
    <w:rsid w:val="00AD13B9"/>
    <w:rsid w:val="00AD1FCE"/>
    <w:rsid w:val="00AD250B"/>
    <w:rsid w:val="00AD2EDD"/>
    <w:rsid w:val="00AD30E7"/>
    <w:rsid w:val="00AD31F0"/>
    <w:rsid w:val="00AD5264"/>
    <w:rsid w:val="00AD5418"/>
    <w:rsid w:val="00AD5D57"/>
    <w:rsid w:val="00AD624D"/>
    <w:rsid w:val="00AD6544"/>
    <w:rsid w:val="00AD658C"/>
    <w:rsid w:val="00AD6F1D"/>
    <w:rsid w:val="00AE03EF"/>
    <w:rsid w:val="00AE0F30"/>
    <w:rsid w:val="00AE0FB8"/>
    <w:rsid w:val="00AE1E72"/>
    <w:rsid w:val="00AE22EC"/>
    <w:rsid w:val="00AE2895"/>
    <w:rsid w:val="00AE2AA2"/>
    <w:rsid w:val="00AE352B"/>
    <w:rsid w:val="00AE37DA"/>
    <w:rsid w:val="00AE3B22"/>
    <w:rsid w:val="00AE6241"/>
    <w:rsid w:val="00AE6955"/>
    <w:rsid w:val="00AE74A1"/>
    <w:rsid w:val="00AE776E"/>
    <w:rsid w:val="00AE7FBC"/>
    <w:rsid w:val="00AF037D"/>
    <w:rsid w:val="00AF0A5E"/>
    <w:rsid w:val="00AF174E"/>
    <w:rsid w:val="00AF177C"/>
    <w:rsid w:val="00AF1F30"/>
    <w:rsid w:val="00AF2C07"/>
    <w:rsid w:val="00AF2FB0"/>
    <w:rsid w:val="00AF2FF8"/>
    <w:rsid w:val="00AF3AF2"/>
    <w:rsid w:val="00AF4940"/>
    <w:rsid w:val="00AF5D33"/>
    <w:rsid w:val="00AF6543"/>
    <w:rsid w:val="00AF7319"/>
    <w:rsid w:val="00AF7ED2"/>
    <w:rsid w:val="00B00264"/>
    <w:rsid w:val="00B0059A"/>
    <w:rsid w:val="00B007C7"/>
    <w:rsid w:val="00B0118F"/>
    <w:rsid w:val="00B018DD"/>
    <w:rsid w:val="00B01A51"/>
    <w:rsid w:val="00B01BE4"/>
    <w:rsid w:val="00B026F5"/>
    <w:rsid w:val="00B029E2"/>
    <w:rsid w:val="00B02B8C"/>
    <w:rsid w:val="00B03631"/>
    <w:rsid w:val="00B038B0"/>
    <w:rsid w:val="00B049D3"/>
    <w:rsid w:val="00B05317"/>
    <w:rsid w:val="00B0566C"/>
    <w:rsid w:val="00B05F9B"/>
    <w:rsid w:val="00B06226"/>
    <w:rsid w:val="00B068CF"/>
    <w:rsid w:val="00B06A2D"/>
    <w:rsid w:val="00B06A50"/>
    <w:rsid w:val="00B06F5E"/>
    <w:rsid w:val="00B06FD5"/>
    <w:rsid w:val="00B07652"/>
    <w:rsid w:val="00B07BDE"/>
    <w:rsid w:val="00B07D04"/>
    <w:rsid w:val="00B11118"/>
    <w:rsid w:val="00B11612"/>
    <w:rsid w:val="00B11CEA"/>
    <w:rsid w:val="00B1297B"/>
    <w:rsid w:val="00B12D9D"/>
    <w:rsid w:val="00B12E42"/>
    <w:rsid w:val="00B13416"/>
    <w:rsid w:val="00B1401E"/>
    <w:rsid w:val="00B15087"/>
    <w:rsid w:val="00B151D6"/>
    <w:rsid w:val="00B1751A"/>
    <w:rsid w:val="00B17555"/>
    <w:rsid w:val="00B21218"/>
    <w:rsid w:val="00B213CC"/>
    <w:rsid w:val="00B21974"/>
    <w:rsid w:val="00B21D25"/>
    <w:rsid w:val="00B22EF8"/>
    <w:rsid w:val="00B23840"/>
    <w:rsid w:val="00B244C6"/>
    <w:rsid w:val="00B24734"/>
    <w:rsid w:val="00B25268"/>
    <w:rsid w:val="00B253D5"/>
    <w:rsid w:val="00B260FA"/>
    <w:rsid w:val="00B2715B"/>
    <w:rsid w:val="00B27955"/>
    <w:rsid w:val="00B30926"/>
    <w:rsid w:val="00B311AD"/>
    <w:rsid w:val="00B31468"/>
    <w:rsid w:val="00B316F7"/>
    <w:rsid w:val="00B31950"/>
    <w:rsid w:val="00B31F0F"/>
    <w:rsid w:val="00B328F3"/>
    <w:rsid w:val="00B32A58"/>
    <w:rsid w:val="00B32E9B"/>
    <w:rsid w:val="00B336C3"/>
    <w:rsid w:val="00B3376E"/>
    <w:rsid w:val="00B33872"/>
    <w:rsid w:val="00B340F5"/>
    <w:rsid w:val="00B341E0"/>
    <w:rsid w:val="00B3451D"/>
    <w:rsid w:val="00B34DB2"/>
    <w:rsid w:val="00B361D0"/>
    <w:rsid w:val="00B36B20"/>
    <w:rsid w:val="00B37092"/>
    <w:rsid w:val="00B37AC6"/>
    <w:rsid w:val="00B37C65"/>
    <w:rsid w:val="00B40B11"/>
    <w:rsid w:val="00B418F6"/>
    <w:rsid w:val="00B41E72"/>
    <w:rsid w:val="00B42310"/>
    <w:rsid w:val="00B43BA0"/>
    <w:rsid w:val="00B445E1"/>
    <w:rsid w:val="00B45744"/>
    <w:rsid w:val="00B47379"/>
    <w:rsid w:val="00B47382"/>
    <w:rsid w:val="00B473E1"/>
    <w:rsid w:val="00B47507"/>
    <w:rsid w:val="00B47DDC"/>
    <w:rsid w:val="00B500FA"/>
    <w:rsid w:val="00B506F1"/>
    <w:rsid w:val="00B50B89"/>
    <w:rsid w:val="00B52AD9"/>
    <w:rsid w:val="00B5435C"/>
    <w:rsid w:val="00B54D09"/>
    <w:rsid w:val="00B5537B"/>
    <w:rsid w:val="00B5538A"/>
    <w:rsid w:val="00B56882"/>
    <w:rsid w:val="00B56A74"/>
    <w:rsid w:val="00B579B6"/>
    <w:rsid w:val="00B57B0E"/>
    <w:rsid w:val="00B62494"/>
    <w:rsid w:val="00B626C1"/>
    <w:rsid w:val="00B6340B"/>
    <w:rsid w:val="00B63566"/>
    <w:rsid w:val="00B64049"/>
    <w:rsid w:val="00B64370"/>
    <w:rsid w:val="00B644DE"/>
    <w:rsid w:val="00B647A0"/>
    <w:rsid w:val="00B649D2"/>
    <w:rsid w:val="00B64A3C"/>
    <w:rsid w:val="00B64C7B"/>
    <w:rsid w:val="00B653FF"/>
    <w:rsid w:val="00B654BC"/>
    <w:rsid w:val="00B656E8"/>
    <w:rsid w:val="00B666B3"/>
    <w:rsid w:val="00B670B3"/>
    <w:rsid w:val="00B67990"/>
    <w:rsid w:val="00B67A6D"/>
    <w:rsid w:val="00B67EBB"/>
    <w:rsid w:val="00B7043D"/>
    <w:rsid w:val="00B70BB6"/>
    <w:rsid w:val="00B727CA"/>
    <w:rsid w:val="00B73198"/>
    <w:rsid w:val="00B73243"/>
    <w:rsid w:val="00B7325D"/>
    <w:rsid w:val="00B73363"/>
    <w:rsid w:val="00B73B61"/>
    <w:rsid w:val="00B74243"/>
    <w:rsid w:val="00B74F90"/>
    <w:rsid w:val="00B75F32"/>
    <w:rsid w:val="00B76845"/>
    <w:rsid w:val="00B77C5B"/>
    <w:rsid w:val="00B804A7"/>
    <w:rsid w:val="00B805BD"/>
    <w:rsid w:val="00B80653"/>
    <w:rsid w:val="00B808C6"/>
    <w:rsid w:val="00B80A06"/>
    <w:rsid w:val="00B80BA0"/>
    <w:rsid w:val="00B81BC5"/>
    <w:rsid w:val="00B81CCD"/>
    <w:rsid w:val="00B81E01"/>
    <w:rsid w:val="00B8234C"/>
    <w:rsid w:val="00B82883"/>
    <w:rsid w:val="00B83105"/>
    <w:rsid w:val="00B83487"/>
    <w:rsid w:val="00B83B73"/>
    <w:rsid w:val="00B84D0E"/>
    <w:rsid w:val="00B8564A"/>
    <w:rsid w:val="00B8589B"/>
    <w:rsid w:val="00B85BF9"/>
    <w:rsid w:val="00B85EB6"/>
    <w:rsid w:val="00B860F6"/>
    <w:rsid w:val="00B86124"/>
    <w:rsid w:val="00B8620D"/>
    <w:rsid w:val="00B86BBC"/>
    <w:rsid w:val="00B8788F"/>
    <w:rsid w:val="00B87EEB"/>
    <w:rsid w:val="00B9047A"/>
    <w:rsid w:val="00B905C4"/>
    <w:rsid w:val="00B918BA"/>
    <w:rsid w:val="00B91ABE"/>
    <w:rsid w:val="00B91F84"/>
    <w:rsid w:val="00B92212"/>
    <w:rsid w:val="00B925FF"/>
    <w:rsid w:val="00B9274A"/>
    <w:rsid w:val="00B9308D"/>
    <w:rsid w:val="00B93723"/>
    <w:rsid w:val="00B947E4"/>
    <w:rsid w:val="00B9583D"/>
    <w:rsid w:val="00B96170"/>
    <w:rsid w:val="00B962E2"/>
    <w:rsid w:val="00B96FEA"/>
    <w:rsid w:val="00BA0981"/>
    <w:rsid w:val="00BA09C3"/>
    <w:rsid w:val="00BA0F54"/>
    <w:rsid w:val="00BA1244"/>
    <w:rsid w:val="00BA16D5"/>
    <w:rsid w:val="00BA1B72"/>
    <w:rsid w:val="00BA2333"/>
    <w:rsid w:val="00BA2FFB"/>
    <w:rsid w:val="00BA304B"/>
    <w:rsid w:val="00BA30F2"/>
    <w:rsid w:val="00BA3289"/>
    <w:rsid w:val="00BA3DC6"/>
    <w:rsid w:val="00BA49F8"/>
    <w:rsid w:val="00BA50EF"/>
    <w:rsid w:val="00BA5BB6"/>
    <w:rsid w:val="00BA603F"/>
    <w:rsid w:val="00BA618D"/>
    <w:rsid w:val="00BA69C8"/>
    <w:rsid w:val="00BA7183"/>
    <w:rsid w:val="00BA7715"/>
    <w:rsid w:val="00BB135C"/>
    <w:rsid w:val="00BB27C0"/>
    <w:rsid w:val="00BB292E"/>
    <w:rsid w:val="00BB3BC2"/>
    <w:rsid w:val="00BB3C8C"/>
    <w:rsid w:val="00BB548C"/>
    <w:rsid w:val="00BB6460"/>
    <w:rsid w:val="00BB6682"/>
    <w:rsid w:val="00BB75DC"/>
    <w:rsid w:val="00BB7730"/>
    <w:rsid w:val="00BB7B0E"/>
    <w:rsid w:val="00BC044C"/>
    <w:rsid w:val="00BC06D7"/>
    <w:rsid w:val="00BC1DEB"/>
    <w:rsid w:val="00BC1E70"/>
    <w:rsid w:val="00BC245F"/>
    <w:rsid w:val="00BC260C"/>
    <w:rsid w:val="00BC2EC8"/>
    <w:rsid w:val="00BC386F"/>
    <w:rsid w:val="00BC5A1E"/>
    <w:rsid w:val="00BC6B09"/>
    <w:rsid w:val="00BC6EE0"/>
    <w:rsid w:val="00BC7CE3"/>
    <w:rsid w:val="00BD04E6"/>
    <w:rsid w:val="00BD1173"/>
    <w:rsid w:val="00BD139C"/>
    <w:rsid w:val="00BD1CFE"/>
    <w:rsid w:val="00BD295B"/>
    <w:rsid w:val="00BD2A55"/>
    <w:rsid w:val="00BD3853"/>
    <w:rsid w:val="00BD4A13"/>
    <w:rsid w:val="00BD4A2D"/>
    <w:rsid w:val="00BD5DFC"/>
    <w:rsid w:val="00BD6BE3"/>
    <w:rsid w:val="00BE0123"/>
    <w:rsid w:val="00BE0189"/>
    <w:rsid w:val="00BE0E59"/>
    <w:rsid w:val="00BE14A9"/>
    <w:rsid w:val="00BE19EA"/>
    <w:rsid w:val="00BE24A2"/>
    <w:rsid w:val="00BE3583"/>
    <w:rsid w:val="00BE3884"/>
    <w:rsid w:val="00BE3DBD"/>
    <w:rsid w:val="00BE58E9"/>
    <w:rsid w:val="00BE608E"/>
    <w:rsid w:val="00BE649A"/>
    <w:rsid w:val="00BE7515"/>
    <w:rsid w:val="00BF0D8F"/>
    <w:rsid w:val="00BF1F49"/>
    <w:rsid w:val="00BF27B7"/>
    <w:rsid w:val="00BF294A"/>
    <w:rsid w:val="00BF2BD5"/>
    <w:rsid w:val="00BF2C71"/>
    <w:rsid w:val="00BF301D"/>
    <w:rsid w:val="00BF3A7A"/>
    <w:rsid w:val="00BF4516"/>
    <w:rsid w:val="00BF4A87"/>
    <w:rsid w:val="00BF4D94"/>
    <w:rsid w:val="00BF586D"/>
    <w:rsid w:val="00BF621A"/>
    <w:rsid w:val="00BF6CD7"/>
    <w:rsid w:val="00BF6EDC"/>
    <w:rsid w:val="00BF70EB"/>
    <w:rsid w:val="00C0000A"/>
    <w:rsid w:val="00C01BDB"/>
    <w:rsid w:val="00C01C6E"/>
    <w:rsid w:val="00C02947"/>
    <w:rsid w:val="00C02C56"/>
    <w:rsid w:val="00C0301E"/>
    <w:rsid w:val="00C0405B"/>
    <w:rsid w:val="00C046D9"/>
    <w:rsid w:val="00C0474C"/>
    <w:rsid w:val="00C04F09"/>
    <w:rsid w:val="00C054EF"/>
    <w:rsid w:val="00C070B9"/>
    <w:rsid w:val="00C1106E"/>
    <w:rsid w:val="00C11976"/>
    <w:rsid w:val="00C120CF"/>
    <w:rsid w:val="00C12394"/>
    <w:rsid w:val="00C143CA"/>
    <w:rsid w:val="00C14501"/>
    <w:rsid w:val="00C14C10"/>
    <w:rsid w:val="00C1509A"/>
    <w:rsid w:val="00C157B1"/>
    <w:rsid w:val="00C15B73"/>
    <w:rsid w:val="00C161F8"/>
    <w:rsid w:val="00C171BB"/>
    <w:rsid w:val="00C17920"/>
    <w:rsid w:val="00C179DF"/>
    <w:rsid w:val="00C17A6F"/>
    <w:rsid w:val="00C17FC1"/>
    <w:rsid w:val="00C20445"/>
    <w:rsid w:val="00C20F1E"/>
    <w:rsid w:val="00C21375"/>
    <w:rsid w:val="00C21635"/>
    <w:rsid w:val="00C21AC0"/>
    <w:rsid w:val="00C21C97"/>
    <w:rsid w:val="00C21CBC"/>
    <w:rsid w:val="00C21EE1"/>
    <w:rsid w:val="00C22AB1"/>
    <w:rsid w:val="00C22FAE"/>
    <w:rsid w:val="00C233B1"/>
    <w:rsid w:val="00C23AA0"/>
    <w:rsid w:val="00C243E7"/>
    <w:rsid w:val="00C250A1"/>
    <w:rsid w:val="00C2519E"/>
    <w:rsid w:val="00C263D3"/>
    <w:rsid w:val="00C26774"/>
    <w:rsid w:val="00C268BA"/>
    <w:rsid w:val="00C26FCB"/>
    <w:rsid w:val="00C27A0D"/>
    <w:rsid w:val="00C309B1"/>
    <w:rsid w:val="00C312B1"/>
    <w:rsid w:val="00C31969"/>
    <w:rsid w:val="00C32543"/>
    <w:rsid w:val="00C32B2E"/>
    <w:rsid w:val="00C330A4"/>
    <w:rsid w:val="00C332FB"/>
    <w:rsid w:val="00C33A01"/>
    <w:rsid w:val="00C33A9B"/>
    <w:rsid w:val="00C33CDB"/>
    <w:rsid w:val="00C3430A"/>
    <w:rsid w:val="00C34558"/>
    <w:rsid w:val="00C34B65"/>
    <w:rsid w:val="00C3502D"/>
    <w:rsid w:val="00C357CF"/>
    <w:rsid w:val="00C37784"/>
    <w:rsid w:val="00C400CF"/>
    <w:rsid w:val="00C4036D"/>
    <w:rsid w:val="00C413FB"/>
    <w:rsid w:val="00C41C75"/>
    <w:rsid w:val="00C41CE9"/>
    <w:rsid w:val="00C421E4"/>
    <w:rsid w:val="00C4281F"/>
    <w:rsid w:val="00C42C82"/>
    <w:rsid w:val="00C42D57"/>
    <w:rsid w:val="00C43250"/>
    <w:rsid w:val="00C43EAB"/>
    <w:rsid w:val="00C44FCF"/>
    <w:rsid w:val="00C45214"/>
    <w:rsid w:val="00C462FA"/>
    <w:rsid w:val="00C46567"/>
    <w:rsid w:val="00C469C4"/>
    <w:rsid w:val="00C470D9"/>
    <w:rsid w:val="00C47A89"/>
    <w:rsid w:val="00C47BAA"/>
    <w:rsid w:val="00C47EB1"/>
    <w:rsid w:val="00C47F7A"/>
    <w:rsid w:val="00C51D28"/>
    <w:rsid w:val="00C51EF4"/>
    <w:rsid w:val="00C51FE1"/>
    <w:rsid w:val="00C52210"/>
    <w:rsid w:val="00C5269A"/>
    <w:rsid w:val="00C52A1B"/>
    <w:rsid w:val="00C53AF3"/>
    <w:rsid w:val="00C53C7D"/>
    <w:rsid w:val="00C54097"/>
    <w:rsid w:val="00C55622"/>
    <w:rsid w:val="00C55634"/>
    <w:rsid w:val="00C559EF"/>
    <w:rsid w:val="00C56FA3"/>
    <w:rsid w:val="00C5761F"/>
    <w:rsid w:val="00C57B0E"/>
    <w:rsid w:val="00C608A2"/>
    <w:rsid w:val="00C61D8C"/>
    <w:rsid w:val="00C61E78"/>
    <w:rsid w:val="00C61F05"/>
    <w:rsid w:val="00C61F51"/>
    <w:rsid w:val="00C62A1F"/>
    <w:rsid w:val="00C62F34"/>
    <w:rsid w:val="00C635B6"/>
    <w:rsid w:val="00C6403F"/>
    <w:rsid w:val="00C643A9"/>
    <w:rsid w:val="00C64C6E"/>
    <w:rsid w:val="00C6519C"/>
    <w:rsid w:val="00C654BD"/>
    <w:rsid w:val="00C655CE"/>
    <w:rsid w:val="00C65721"/>
    <w:rsid w:val="00C671CB"/>
    <w:rsid w:val="00C677D4"/>
    <w:rsid w:val="00C67C7E"/>
    <w:rsid w:val="00C67F69"/>
    <w:rsid w:val="00C67FCD"/>
    <w:rsid w:val="00C70244"/>
    <w:rsid w:val="00C70253"/>
    <w:rsid w:val="00C70307"/>
    <w:rsid w:val="00C703BD"/>
    <w:rsid w:val="00C704A5"/>
    <w:rsid w:val="00C70669"/>
    <w:rsid w:val="00C70E39"/>
    <w:rsid w:val="00C718BC"/>
    <w:rsid w:val="00C72A90"/>
    <w:rsid w:val="00C73534"/>
    <w:rsid w:val="00C74AF0"/>
    <w:rsid w:val="00C753C2"/>
    <w:rsid w:val="00C756F0"/>
    <w:rsid w:val="00C75734"/>
    <w:rsid w:val="00C76691"/>
    <w:rsid w:val="00C76837"/>
    <w:rsid w:val="00C7684A"/>
    <w:rsid w:val="00C774E6"/>
    <w:rsid w:val="00C77543"/>
    <w:rsid w:val="00C778CD"/>
    <w:rsid w:val="00C806F7"/>
    <w:rsid w:val="00C80896"/>
    <w:rsid w:val="00C80D03"/>
    <w:rsid w:val="00C841C8"/>
    <w:rsid w:val="00C842CB"/>
    <w:rsid w:val="00C84A98"/>
    <w:rsid w:val="00C856CC"/>
    <w:rsid w:val="00C856D1"/>
    <w:rsid w:val="00C86242"/>
    <w:rsid w:val="00C8659A"/>
    <w:rsid w:val="00C86887"/>
    <w:rsid w:val="00C90630"/>
    <w:rsid w:val="00C91EBC"/>
    <w:rsid w:val="00C920D4"/>
    <w:rsid w:val="00C92777"/>
    <w:rsid w:val="00C929F8"/>
    <w:rsid w:val="00C936C8"/>
    <w:rsid w:val="00C939B3"/>
    <w:rsid w:val="00C94A71"/>
    <w:rsid w:val="00C955A5"/>
    <w:rsid w:val="00C95BFB"/>
    <w:rsid w:val="00C96323"/>
    <w:rsid w:val="00C971B8"/>
    <w:rsid w:val="00CA0537"/>
    <w:rsid w:val="00CA0600"/>
    <w:rsid w:val="00CA0D25"/>
    <w:rsid w:val="00CA0D35"/>
    <w:rsid w:val="00CA0D74"/>
    <w:rsid w:val="00CA14FD"/>
    <w:rsid w:val="00CA1618"/>
    <w:rsid w:val="00CA1933"/>
    <w:rsid w:val="00CA2CE1"/>
    <w:rsid w:val="00CA35CD"/>
    <w:rsid w:val="00CA3618"/>
    <w:rsid w:val="00CA3B4E"/>
    <w:rsid w:val="00CA469E"/>
    <w:rsid w:val="00CA4B91"/>
    <w:rsid w:val="00CA5E57"/>
    <w:rsid w:val="00CA6819"/>
    <w:rsid w:val="00CA68A3"/>
    <w:rsid w:val="00CA6EA5"/>
    <w:rsid w:val="00CA6FD9"/>
    <w:rsid w:val="00CA7BB0"/>
    <w:rsid w:val="00CB0824"/>
    <w:rsid w:val="00CB10B8"/>
    <w:rsid w:val="00CB13E7"/>
    <w:rsid w:val="00CB1800"/>
    <w:rsid w:val="00CB3044"/>
    <w:rsid w:val="00CB33C6"/>
    <w:rsid w:val="00CB3428"/>
    <w:rsid w:val="00CB4535"/>
    <w:rsid w:val="00CB520B"/>
    <w:rsid w:val="00CB531C"/>
    <w:rsid w:val="00CB5F8C"/>
    <w:rsid w:val="00CB5FEA"/>
    <w:rsid w:val="00CB60E2"/>
    <w:rsid w:val="00CB616B"/>
    <w:rsid w:val="00CB6578"/>
    <w:rsid w:val="00CB6E33"/>
    <w:rsid w:val="00CB6FE3"/>
    <w:rsid w:val="00CB756E"/>
    <w:rsid w:val="00CB75DB"/>
    <w:rsid w:val="00CB76A4"/>
    <w:rsid w:val="00CC0D64"/>
    <w:rsid w:val="00CC1605"/>
    <w:rsid w:val="00CC16DE"/>
    <w:rsid w:val="00CC1D48"/>
    <w:rsid w:val="00CC2514"/>
    <w:rsid w:val="00CC25E3"/>
    <w:rsid w:val="00CC2D05"/>
    <w:rsid w:val="00CC309E"/>
    <w:rsid w:val="00CC35C5"/>
    <w:rsid w:val="00CC37A8"/>
    <w:rsid w:val="00CC4DB0"/>
    <w:rsid w:val="00CC5049"/>
    <w:rsid w:val="00CC5A1F"/>
    <w:rsid w:val="00CC5AE9"/>
    <w:rsid w:val="00CC645E"/>
    <w:rsid w:val="00CC64DB"/>
    <w:rsid w:val="00CC6709"/>
    <w:rsid w:val="00CC689B"/>
    <w:rsid w:val="00CD1168"/>
    <w:rsid w:val="00CD1359"/>
    <w:rsid w:val="00CD19E1"/>
    <w:rsid w:val="00CD1F11"/>
    <w:rsid w:val="00CD1F47"/>
    <w:rsid w:val="00CD2012"/>
    <w:rsid w:val="00CD2070"/>
    <w:rsid w:val="00CD23CD"/>
    <w:rsid w:val="00CD2869"/>
    <w:rsid w:val="00CD2EED"/>
    <w:rsid w:val="00CD3187"/>
    <w:rsid w:val="00CD368A"/>
    <w:rsid w:val="00CD4611"/>
    <w:rsid w:val="00CD5060"/>
    <w:rsid w:val="00CD5525"/>
    <w:rsid w:val="00CD5746"/>
    <w:rsid w:val="00CD5984"/>
    <w:rsid w:val="00CD5EDB"/>
    <w:rsid w:val="00CD60FE"/>
    <w:rsid w:val="00CD647F"/>
    <w:rsid w:val="00CD6DE1"/>
    <w:rsid w:val="00CD6E22"/>
    <w:rsid w:val="00CD7233"/>
    <w:rsid w:val="00CD7723"/>
    <w:rsid w:val="00CE03E9"/>
    <w:rsid w:val="00CE080F"/>
    <w:rsid w:val="00CE0B08"/>
    <w:rsid w:val="00CE0D8D"/>
    <w:rsid w:val="00CE1D93"/>
    <w:rsid w:val="00CE337E"/>
    <w:rsid w:val="00CE376C"/>
    <w:rsid w:val="00CE3A59"/>
    <w:rsid w:val="00CE4083"/>
    <w:rsid w:val="00CE42DA"/>
    <w:rsid w:val="00CE432A"/>
    <w:rsid w:val="00CE4570"/>
    <w:rsid w:val="00CE4C73"/>
    <w:rsid w:val="00CE4C86"/>
    <w:rsid w:val="00CE51B9"/>
    <w:rsid w:val="00CE6781"/>
    <w:rsid w:val="00CE6B44"/>
    <w:rsid w:val="00CE6CFA"/>
    <w:rsid w:val="00CE6E48"/>
    <w:rsid w:val="00CE764B"/>
    <w:rsid w:val="00CF099B"/>
    <w:rsid w:val="00CF16CF"/>
    <w:rsid w:val="00CF177D"/>
    <w:rsid w:val="00CF2967"/>
    <w:rsid w:val="00CF30D7"/>
    <w:rsid w:val="00CF3244"/>
    <w:rsid w:val="00CF39E9"/>
    <w:rsid w:val="00CF4B55"/>
    <w:rsid w:val="00CF4B5A"/>
    <w:rsid w:val="00CF58D3"/>
    <w:rsid w:val="00CF5E2E"/>
    <w:rsid w:val="00CF66EE"/>
    <w:rsid w:val="00CF680A"/>
    <w:rsid w:val="00CF7477"/>
    <w:rsid w:val="00CF7B07"/>
    <w:rsid w:val="00CF7B90"/>
    <w:rsid w:val="00D00516"/>
    <w:rsid w:val="00D0363B"/>
    <w:rsid w:val="00D03C40"/>
    <w:rsid w:val="00D03C56"/>
    <w:rsid w:val="00D042A3"/>
    <w:rsid w:val="00D0569F"/>
    <w:rsid w:val="00D05A07"/>
    <w:rsid w:val="00D065CE"/>
    <w:rsid w:val="00D06F18"/>
    <w:rsid w:val="00D07013"/>
    <w:rsid w:val="00D0767F"/>
    <w:rsid w:val="00D07771"/>
    <w:rsid w:val="00D1026D"/>
    <w:rsid w:val="00D126F7"/>
    <w:rsid w:val="00D13129"/>
    <w:rsid w:val="00D1316F"/>
    <w:rsid w:val="00D131CA"/>
    <w:rsid w:val="00D136FE"/>
    <w:rsid w:val="00D13A70"/>
    <w:rsid w:val="00D13AAF"/>
    <w:rsid w:val="00D144D9"/>
    <w:rsid w:val="00D170F7"/>
    <w:rsid w:val="00D17479"/>
    <w:rsid w:val="00D17843"/>
    <w:rsid w:val="00D17948"/>
    <w:rsid w:val="00D21330"/>
    <w:rsid w:val="00D21671"/>
    <w:rsid w:val="00D21877"/>
    <w:rsid w:val="00D2212A"/>
    <w:rsid w:val="00D2322E"/>
    <w:rsid w:val="00D2396C"/>
    <w:rsid w:val="00D23F6E"/>
    <w:rsid w:val="00D27883"/>
    <w:rsid w:val="00D27BCE"/>
    <w:rsid w:val="00D303BB"/>
    <w:rsid w:val="00D3050C"/>
    <w:rsid w:val="00D31BED"/>
    <w:rsid w:val="00D31CDB"/>
    <w:rsid w:val="00D33956"/>
    <w:rsid w:val="00D341CD"/>
    <w:rsid w:val="00D346C6"/>
    <w:rsid w:val="00D34A37"/>
    <w:rsid w:val="00D35127"/>
    <w:rsid w:val="00D351E1"/>
    <w:rsid w:val="00D36C29"/>
    <w:rsid w:val="00D36F3C"/>
    <w:rsid w:val="00D37639"/>
    <w:rsid w:val="00D37804"/>
    <w:rsid w:val="00D37911"/>
    <w:rsid w:val="00D37ABF"/>
    <w:rsid w:val="00D40952"/>
    <w:rsid w:val="00D40CF0"/>
    <w:rsid w:val="00D40DA5"/>
    <w:rsid w:val="00D4126F"/>
    <w:rsid w:val="00D41871"/>
    <w:rsid w:val="00D419A6"/>
    <w:rsid w:val="00D41AC7"/>
    <w:rsid w:val="00D422BF"/>
    <w:rsid w:val="00D42DA8"/>
    <w:rsid w:val="00D433EC"/>
    <w:rsid w:val="00D43A17"/>
    <w:rsid w:val="00D43C20"/>
    <w:rsid w:val="00D44D39"/>
    <w:rsid w:val="00D44F56"/>
    <w:rsid w:val="00D45598"/>
    <w:rsid w:val="00D45B21"/>
    <w:rsid w:val="00D4644C"/>
    <w:rsid w:val="00D468BC"/>
    <w:rsid w:val="00D4740B"/>
    <w:rsid w:val="00D47A06"/>
    <w:rsid w:val="00D5011E"/>
    <w:rsid w:val="00D5056C"/>
    <w:rsid w:val="00D51306"/>
    <w:rsid w:val="00D51E47"/>
    <w:rsid w:val="00D532AF"/>
    <w:rsid w:val="00D53746"/>
    <w:rsid w:val="00D53E80"/>
    <w:rsid w:val="00D5406C"/>
    <w:rsid w:val="00D55441"/>
    <w:rsid w:val="00D5623A"/>
    <w:rsid w:val="00D5642D"/>
    <w:rsid w:val="00D568AD"/>
    <w:rsid w:val="00D56E21"/>
    <w:rsid w:val="00D575C5"/>
    <w:rsid w:val="00D577B0"/>
    <w:rsid w:val="00D600A7"/>
    <w:rsid w:val="00D60808"/>
    <w:rsid w:val="00D60B5F"/>
    <w:rsid w:val="00D60E8C"/>
    <w:rsid w:val="00D61245"/>
    <w:rsid w:val="00D629D5"/>
    <w:rsid w:val="00D6322D"/>
    <w:rsid w:val="00D635F2"/>
    <w:rsid w:val="00D63B12"/>
    <w:rsid w:val="00D66E8E"/>
    <w:rsid w:val="00D6731E"/>
    <w:rsid w:val="00D675EC"/>
    <w:rsid w:val="00D67813"/>
    <w:rsid w:val="00D7023A"/>
    <w:rsid w:val="00D70A44"/>
    <w:rsid w:val="00D70DEF"/>
    <w:rsid w:val="00D719E7"/>
    <w:rsid w:val="00D729C7"/>
    <w:rsid w:val="00D739A2"/>
    <w:rsid w:val="00D7426E"/>
    <w:rsid w:val="00D7473F"/>
    <w:rsid w:val="00D748BE"/>
    <w:rsid w:val="00D7490F"/>
    <w:rsid w:val="00D74F32"/>
    <w:rsid w:val="00D75041"/>
    <w:rsid w:val="00D75D9D"/>
    <w:rsid w:val="00D76C99"/>
    <w:rsid w:val="00D76D0D"/>
    <w:rsid w:val="00D772CD"/>
    <w:rsid w:val="00D800AC"/>
    <w:rsid w:val="00D806F2"/>
    <w:rsid w:val="00D81122"/>
    <w:rsid w:val="00D811F5"/>
    <w:rsid w:val="00D8152D"/>
    <w:rsid w:val="00D819C0"/>
    <w:rsid w:val="00D81C39"/>
    <w:rsid w:val="00D81CDD"/>
    <w:rsid w:val="00D81D3A"/>
    <w:rsid w:val="00D825C1"/>
    <w:rsid w:val="00D828BC"/>
    <w:rsid w:val="00D836AB"/>
    <w:rsid w:val="00D83D08"/>
    <w:rsid w:val="00D84A3D"/>
    <w:rsid w:val="00D84D26"/>
    <w:rsid w:val="00D85495"/>
    <w:rsid w:val="00D8720A"/>
    <w:rsid w:val="00D87222"/>
    <w:rsid w:val="00D8736A"/>
    <w:rsid w:val="00D87A0D"/>
    <w:rsid w:val="00D87F07"/>
    <w:rsid w:val="00D90433"/>
    <w:rsid w:val="00D90C34"/>
    <w:rsid w:val="00D90E0E"/>
    <w:rsid w:val="00D90ED9"/>
    <w:rsid w:val="00D923AA"/>
    <w:rsid w:val="00D924B3"/>
    <w:rsid w:val="00D944EA"/>
    <w:rsid w:val="00D945AE"/>
    <w:rsid w:val="00D94D39"/>
    <w:rsid w:val="00D9557C"/>
    <w:rsid w:val="00D95581"/>
    <w:rsid w:val="00D956F2"/>
    <w:rsid w:val="00D96160"/>
    <w:rsid w:val="00D963A4"/>
    <w:rsid w:val="00D965CB"/>
    <w:rsid w:val="00D96DD3"/>
    <w:rsid w:val="00D9736C"/>
    <w:rsid w:val="00D976BF"/>
    <w:rsid w:val="00DA0022"/>
    <w:rsid w:val="00DA03F9"/>
    <w:rsid w:val="00DA088F"/>
    <w:rsid w:val="00DA1589"/>
    <w:rsid w:val="00DA2686"/>
    <w:rsid w:val="00DA2FD3"/>
    <w:rsid w:val="00DA32A5"/>
    <w:rsid w:val="00DA3A08"/>
    <w:rsid w:val="00DA416C"/>
    <w:rsid w:val="00DA4456"/>
    <w:rsid w:val="00DA5682"/>
    <w:rsid w:val="00DA6BFD"/>
    <w:rsid w:val="00DA7044"/>
    <w:rsid w:val="00DA7A7D"/>
    <w:rsid w:val="00DB04DC"/>
    <w:rsid w:val="00DB0737"/>
    <w:rsid w:val="00DB0FCF"/>
    <w:rsid w:val="00DB117E"/>
    <w:rsid w:val="00DB1E23"/>
    <w:rsid w:val="00DB2635"/>
    <w:rsid w:val="00DB2F9F"/>
    <w:rsid w:val="00DB3303"/>
    <w:rsid w:val="00DB4799"/>
    <w:rsid w:val="00DB4873"/>
    <w:rsid w:val="00DB4D43"/>
    <w:rsid w:val="00DB52AF"/>
    <w:rsid w:val="00DB570E"/>
    <w:rsid w:val="00DB6CE9"/>
    <w:rsid w:val="00DB749C"/>
    <w:rsid w:val="00DB74A5"/>
    <w:rsid w:val="00DB788D"/>
    <w:rsid w:val="00DB7A39"/>
    <w:rsid w:val="00DB7D64"/>
    <w:rsid w:val="00DC04FE"/>
    <w:rsid w:val="00DC09AF"/>
    <w:rsid w:val="00DC0D11"/>
    <w:rsid w:val="00DC0D60"/>
    <w:rsid w:val="00DC0F51"/>
    <w:rsid w:val="00DC281E"/>
    <w:rsid w:val="00DC3222"/>
    <w:rsid w:val="00DC344C"/>
    <w:rsid w:val="00DC420B"/>
    <w:rsid w:val="00DC4329"/>
    <w:rsid w:val="00DC46CB"/>
    <w:rsid w:val="00DC4AD9"/>
    <w:rsid w:val="00DC6397"/>
    <w:rsid w:val="00DC64F6"/>
    <w:rsid w:val="00DC6DB0"/>
    <w:rsid w:val="00DC703D"/>
    <w:rsid w:val="00DC73DA"/>
    <w:rsid w:val="00DC7CBF"/>
    <w:rsid w:val="00DD0A03"/>
    <w:rsid w:val="00DD1259"/>
    <w:rsid w:val="00DD12B2"/>
    <w:rsid w:val="00DD14FD"/>
    <w:rsid w:val="00DD15CF"/>
    <w:rsid w:val="00DD17BA"/>
    <w:rsid w:val="00DD1994"/>
    <w:rsid w:val="00DD1D1E"/>
    <w:rsid w:val="00DD1DD1"/>
    <w:rsid w:val="00DD2455"/>
    <w:rsid w:val="00DD2B65"/>
    <w:rsid w:val="00DD2C1A"/>
    <w:rsid w:val="00DD2C38"/>
    <w:rsid w:val="00DD316C"/>
    <w:rsid w:val="00DD3A55"/>
    <w:rsid w:val="00DD3D54"/>
    <w:rsid w:val="00DD4648"/>
    <w:rsid w:val="00DD481F"/>
    <w:rsid w:val="00DD4AD1"/>
    <w:rsid w:val="00DD61BC"/>
    <w:rsid w:val="00DD6CCE"/>
    <w:rsid w:val="00DD73E6"/>
    <w:rsid w:val="00DD781D"/>
    <w:rsid w:val="00DE002D"/>
    <w:rsid w:val="00DE032E"/>
    <w:rsid w:val="00DE0CCF"/>
    <w:rsid w:val="00DE1677"/>
    <w:rsid w:val="00DE2149"/>
    <w:rsid w:val="00DE24DC"/>
    <w:rsid w:val="00DE30F6"/>
    <w:rsid w:val="00DE389F"/>
    <w:rsid w:val="00DE434F"/>
    <w:rsid w:val="00DE43E9"/>
    <w:rsid w:val="00DE4BC2"/>
    <w:rsid w:val="00DE5277"/>
    <w:rsid w:val="00DE5A1D"/>
    <w:rsid w:val="00DE5B8A"/>
    <w:rsid w:val="00DE614D"/>
    <w:rsid w:val="00DE733F"/>
    <w:rsid w:val="00DE7C13"/>
    <w:rsid w:val="00DE7C3C"/>
    <w:rsid w:val="00DF1834"/>
    <w:rsid w:val="00DF1A51"/>
    <w:rsid w:val="00DF1CFA"/>
    <w:rsid w:val="00DF1DEB"/>
    <w:rsid w:val="00DF273A"/>
    <w:rsid w:val="00DF2F05"/>
    <w:rsid w:val="00DF2FE2"/>
    <w:rsid w:val="00DF32FE"/>
    <w:rsid w:val="00DF3831"/>
    <w:rsid w:val="00DF4ACE"/>
    <w:rsid w:val="00DF4BB1"/>
    <w:rsid w:val="00DF4CD6"/>
    <w:rsid w:val="00DF4FC5"/>
    <w:rsid w:val="00DF5621"/>
    <w:rsid w:val="00DF5B2B"/>
    <w:rsid w:val="00DF6132"/>
    <w:rsid w:val="00DF67CF"/>
    <w:rsid w:val="00DF6F3F"/>
    <w:rsid w:val="00DF74C1"/>
    <w:rsid w:val="00DF7ED6"/>
    <w:rsid w:val="00E003CE"/>
    <w:rsid w:val="00E01383"/>
    <w:rsid w:val="00E013D6"/>
    <w:rsid w:val="00E027AE"/>
    <w:rsid w:val="00E03662"/>
    <w:rsid w:val="00E03720"/>
    <w:rsid w:val="00E03FE7"/>
    <w:rsid w:val="00E042EA"/>
    <w:rsid w:val="00E04E66"/>
    <w:rsid w:val="00E04E92"/>
    <w:rsid w:val="00E05599"/>
    <w:rsid w:val="00E05C5D"/>
    <w:rsid w:val="00E06964"/>
    <w:rsid w:val="00E0761B"/>
    <w:rsid w:val="00E10732"/>
    <w:rsid w:val="00E10AB9"/>
    <w:rsid w:val="00E10D09"/>
    <w:rsid w:val="00E10D6E"/>
    <w:rsid w:val="00E10EF6"/>
    <w:rsid w:val="00E11036"/>
    <w:rsid w:val="00E1123C"/>
    <w:rsid w:val="00E11493"/>
    <w:rsid w:val="00E11A27"/>
    <w:rsid w:val="00E11B9C"/>
    <w:rsid w:val="00E11BD2"/>
    <w:rsid w:val="00E11EE7"/>
    <w:rsid w:val="00E1245E"/>
    <w:rsid w:val="00E12B11"/>
    <w:rsid w:val="00E1314B"/>
    <w:rsid w:val="00E144BA"/>
    <w:rsid w:val="00E15723"/>
    <w:rsid w:val="00E161C3"/>
    <w:rsid w:val="00E16679"/>
    <w:rsid w:val="00E16DC4"/>
    <w:rsid w:val="00E17E0B"/>
    <w:rsid w:val="00E2031A"/>
    <w:rsid w:val="00E20611"/>
    <w:rsid w:val="00E20C94"/>
    <w:rsid w:val="00E20DB6"/>
    <w:rsid w:val="00E21D15"/>
    <w:rsid w:val="00E224CB"/>
    <w:rsid w:val="00E22D54"/>
    <w:rsid w:val="00E22F9A"/>
    <w:rsid w:val="00E2366F"/>
    <w:rsid w:val="00E23838"/>
    <w:rsid w:val="00E251B8"/>
    <w:rsid w:val="00E255EC"/>
    <w:rsid w:val="00E25C02"/>
    <w:rsid w:val="00E25C58"/>
    <w:rsid w:val="00E260B1"/>
    <w:rsid w:val="00E26A6A"/>
    <w:rsid w:val="00E27ED2"/>
    <w:rsid w:val="00E305EE"/>
    <w:rsid w:val="00E3074F"/>
    <w:rsid w:val="00E30755"/>
    <w:rsid w:val="00E30E57"/>
    <w:rsid w:val="00E30F92"/>
    <w:rsid w:val="00E312CF"/>
    <w:rsid w:val="00E314CB"/>
    <w:rsid w:val="00E31998"/>
    <w:rsid w:val="00E31E10"/>
    <w:rsid w:val="00E3297C"/>
    <w:rsid w:val="00E329B6"/>
    <w:rsid w:val="00E329E7"/>
    <w:rsid w:val="00E32BF2"/>
    <w:rsid w:val="00E32DF1"/>
    <w:rsid w:val="00E331C7"/>
    <w:rsid w:val="00E339B0"/>
    <w:rsid w:val="00E33A6F"/>
    <w:rsid w:val="00E34EAC"/>
    <w:rsid w:val="00E354DD"/>
    <w:rsid w:val="00E35BFC"/>
    <w:rsid w:val="00E3696E"/>
    <w:rsid w:val="00E36BA7"/>
    <w:rsid w:val="00E374E3"/>
    <w:rsid w:val="00E378AB"/>
    <w:rsid w:val="00E379A3"/>
    <w:rsid w:val="00E37DA2"/>
    <w:rsid w:val="00E40424"/>
    <w:rsid w:val="00E40516"/>
    <w:rsid w:val="00E40818"/>
    <w:rsid w:val="00E40AA1"/>
    <w:rsid w:val="00E40AFB"/>
    <w:rsid w:val="00E411F8"/>
    <w:rsid w:val="00E41999"/>
    <w:rsid w:val="00E4478F"/>
    <w:rsid w:val="00E459BB"/>
    <w:rsid w:val="00E45A22"/>
    <w:rsid w:val="00E463FC"/>
    <w:rsid w:val="00E465D5"/>
    <w:rsid w:val="00E4699C"/>
    <w:rsid w:val="00E46BA8"/>
    <w:rsid w:val="00E478AB"/>
    <w:rsid w:val="00E47964"/>
    <w:rsid w:val="00E47D18"/>
    <w:rsid w:val="00E50A41"/>
    <w:rsid w:val="00E50B49"/>
    <w:rsid w:val="00E5149D"/>
    <w:rsid w:val="00E52DB7"/>
    <w:rsid w:val="00E52FEE"/>
    <w:rsid w:val="00E530B9"/>
    <w:rsid w:val="00E5326B"/>
    <w:rsid w:val="00E53335"/>
    <w:rsid w:val="00E54374"/>
    <w:rsid w:val="00E5467F"/>
    <w:rsid w:val="00E54FAB"/>
    <w:rsid w:val="00E5567D"/>
    <w:rsid w:val="00E564B1"/>
    <w:rsid w:val="00E565EE"/>
    <w:rsid w:val="00E566FC"/>
    <w:rsid w:val="00E56BB2"/>
    <w:rsid w:val="00E5781A"/>
    <w:rsid w:val="00E6016E"/>
    <w:rsid w:val="00E601BA"/>
    <w:rsid w:val="00E60493"/>
    <w:rsid w:val="00E613A1"/>
    <w:rsid w:val="00E62069"/>
    <w:rsid w:val="00E62373"/>
    <w:rsid w:val="00E62895"/>
    <w:rsid w:val="00E63DCC"/>
    <w:rsid w:val="00E6418D"/>
    <w:rsid w:val="00E6448D"/>
    <w:rsid w:val="00E64CEB"/>
    <w:rsid w:val="00E65081"/>
    <w:rsid w:val="00E65404"/>
    <w:rsid w:val="00E65824"/>
    <w:rsid w:val="00E66A4A"/>
    <w:rsid w:val="00E66B63"/>
    <w:rsid w:val="00E67B68"/>
    <w:rsid w:val="00E70B33"/>
    <w:rsid w:val="00E70D27"/>
    <w:rsid w:val="00E70FAF"/>
    <w:rsid w:val="00E71797"/>
    <w:rsid w:val="00E71C7F"/>
    <w:rsid w:val="00E721BA"/>
    <w:rsid w:val="00E7429D"/>
    <w:rsid w:val="00E74FF7"/>
    <w:rsid w:val="00E753D8"/>
    <w:rsid w:val="00E75503"/>
    <w:rsid w:val="00E75972"/>
    <w:rsid w:val="00E76AAE"/>
    <w:rsid w:val="00E76DF0"/>
    <w:rsid w:val="00E770FF"/>
    <w:rsid w:val="00E80B57"/>
    <w:rsid w:val="00E813B7"/>
    <w:rsid w:val="00E81762"/>
    <w:rsid w:val="00E81960"/>
    <w:rsid w:val="00E8253A"/>
    <w:rsid w:val="00E83871"/>
    <w:rsid w:val="00E84071"/>
    <w:rsid w:val="00E8428D"/>
    <w:rsid w:val="00E84682"/>
    <w:rsid w:val="00E846B4"/>
    <w:rsid w:val="00E854DA"/>
    <w:rsid w:val="00E859AC"/>
    <w:rsid w:val="00E86807"/>
    <w:rsid w:val="00E869C6"/>
    <w:rsid w:val="00E87306"/>
    <w:rsid w:val="00E910DB"/>
    <w:rsid w:val="00E9254D"/>
    <w:rsid w:val="00E93853"/>
    <w:rsid w:val="00E93A9A"/>
    <w:rsid w:val="00E93EDD"/>
    <w:rsid w:val="00E940D6"/>
    <w:rsid w:val="00E9424B"/>
    <w:rsid w:val="00E949C2"/>
    <w:rsid w:val="00E94FAC"/>
    <w:rsid w:val="00E95063"/>
    <w:rsid w:val="00E9635B"/>
    <w:rsid w:val="00E967AC"/>
    <w:rsid w:val="00EA008A"/>
    <w:rsid w:val="00EA0139"/>
    <w:rsid w:val="00EA11C4"/>
    <w:rsid w:val="00EA1A67"/>
    <w:rsid w:val="00EA1E2A"/>
    <w:rsid w:val="00EA20E2"/>
    <w:rsid w:val="00EA2144"/>
    <w:rsid w:val="00EA26EA"/>
    <w:rsid w:val="00EA27FB"/>
    <w:rsid w:val="00EA2A72"/>
    <w:rsid w:val="00EA30D2"/>
    <w:rsid w:val="00EA3C6E"/>
    <w:rsid w:val="00EA5BD9"/>
    <w:rsid w:val="00EA5CE4"/>
    <w:rsid w:val="00EA6FED"/>
    <w:rsid w:val="00EA769C"/>
    <w:rsid w:val="00EB0C1D"/>
    <w:rsid w:val="00EB0EB0"/>
    <w:rsid w:val="00EB1D63"/>
    <w:rsid w:val="00EB20D7"/>
    <w:rsid w:val="00EB227C"/>
    <w:rsid w:val="00EB24F0"/>
    <w:rsid w:val="00EB31F0"/>
    <w:rsid w:val="00EB500B"/>
    <w:rsid w:val="00EB5DBC"/>
    <w:rsid w:val="00EB6738"/>
    <w:rsid w:val="00EB6A3E"/>
    <w:rsid w:val="00EB7A20"/>
    <w:rsid w:val="00EC005D"/>
    <w:rsid w:val="00EC05F4"/>
    <w:rsid w:val="00EC0F8F"/>
    <w:rsid w:val="00EC1631"/>
    <w:rsid w:val="00EC1774"/>
    <w:rsid w:val="00EC1F1D"/>
    <w:rsid w:val="00EC1F27"/>
    <w:rsid w:val="00EC2DA7"/>
    <w:rsid w:val="00EC2E4D"/>
    <w:rsid w:val="00EC33AE"/>
    <w:rsid w:val="00EC3428"/>
    <w:rsid w:val="00EC37B2"/>
    <w:rsid w:val="00EC43EA"/>
    <w:rsid w:val="00EC4C36"/>
    <w:rsid w:val="00EC4CC1"/>
    <w:rsid w:val="00EC556D"/>
    <w:rsid w:val="00EC569F"/>
    <w:rsid w:val="00EC799E"/>
    <w:rsid w:val="00EC7DDD"/>
    <w:rsid w:val="00EC7FC6"/>
    <w:rsid w:val="00ED0220"/>
    <w:rsid w:val="00ED0A69"/>
    <w:rsid w:val="00ED0CBC"/>
    <w:rsid w:val="00ED1080"/>
    <w:rsid w:val="00ED1B87"/>
    <w:rsid w:val="00ED2F5A"/>
    <w:rsid w:val="00ED2FDF"/>
    <w:rsid w:val="00ED3720"/>
    <w:rsid w:val="00ED3915"/>
    <w:rsid w:val="00ED39ED"/>
    <w:rsid w:val="00ED45A5"/>
    <w:rsid w:val="00ED4BC8"/>
    <w:rsid w:val="00ED5D9C"/>
    <w:rsid w:val="00ED5EEC"/>
    <w:rsid w:val="00ED691A"/>
    <w:rsid w:val="00ED6D34"/>
    <w:rsid w:val="00ED73AB"/>
    <w:rsid w:val="00ED7C3F"/>
    <w:rsid w:val="00EE1445"/>
    <w:rsid w:val="00EE1632"/>
    <w:rsid w:val="00EE1652"/>
    <w:rsid w:val="00EE16E7"/>
    <w:rsid w:val="00EE26C7"/>
    <w:rsid w:val="00EE36C1"/>
    <w:rsid w:val="00EE419B"/>
    <w:rsid w:val="00EE43FC"/>
    <w:rsid w:val="00EE5667"/>
    <w:rsid w:val="00EE67B7"/>
    <w:rsid w:val="00EE7644"/>
    <w:rsid w:val="00EE781F"/>
    <w:rsid w:val="00EE797B"/>
    <w:rsid w:val="00EE7B78"/>
    <w:rsid w:val="00EF05AC"/>
    <w:rsid w:val="00EF0D97"/>
    <w:rsid w:val="00EF1D84"/>
    <w:rsid w:val="00EF273D"/>
    <w:rsid w:val="00EF2F15"/>
    <w:rsid w:val="00EF36D6"/>
    <w:rsid w:val="00EF3E7C"/>
    <w:rsid w:val="00EF41BB"/>
    <w:rsid w:val="00EF495F"/>
    <w:rsid w:val="00EF50E5"/>
    <w:rsid w:val="00EF51C6"/>
    <w:rsid w:val="00EF51F2"/>
    <w:rsid w:val="00EF568C"/>
    <w:rsid w:val="00EF6059"/>
    <w:rsid w:val="00EF665E"/>
    <w:rsid w:val="00EF6D0F"/>
    <w:rsid w:val="00EF6EFE"/>
    <w:rsid w:val="00EF7161"/>
    <w:rsid w:val="00EF78BC"/>
    <w:rsid w:val="00F009BD"/>
    <w:rsid w:val="00F00AD6"/>
    <w:rsid w:val="00F01FCF"/>
    <w:rsid w:val="00F02367"/>
    <w:rsid w:val="00F02CE5"/>
    <w:rsid w:val="00F037E1"/>
    <w:rsid w:val="00F03AA1"/>
    <w:rsid w:val="00F03AEF"/>
    <w:rsid w:val="00F03D97"/>
    <w:rsid w:val="00F040DF"/>
    <w:rsid w:val="00F04124"/>
    <w:rsid w:val="00F05632"/>
    <w:rsid w:val="00F056E6"/>
    <w:rsid w:val="00F060E3"/>
    <w:rsid w:val="00F063CB"/>
    <w:rsid w:val="00F07E3A"/>
    <w:rsid w:val="00F1007F"/>
    <w:rsid w:val="00F113B7"/>
    <w:rsid w:val="00F117A8"/>
    <w:rsid w:val="00F11A6F"/>
    <w:rsid w:val="00F11B6A"/>
    <w:rsid w:val="00F12836"/>
    <w:rsid w:val="00F12AF4"/>
    <w:rsid w:val="00F12DA8"/>
    <w:rsid w:val="00F12DC8"/>
    <w:rsid w:val="00F15356"/>
    <w:rsid w:val="00F153B8"/>
    <w:rsid w:val="00F16AB0"/>
    <w:rsid w:val="00F17306"/>
    <w:rsid w:val="00F174B5"/>
    <w:rsid w:val="00F20540"/>
    <w:rsid w:val="00F208DC"/>
    <w:rsid w:val="00F20A4F"/>
    <w:rsid w:val="00F21B20"/>
    <w:rsid w:val="00F21B4A"/>
    <w:rsid w:val="00F21DF4"/>
    <w:rsid w:val="00F22362"/>
    <w:rsid w:val="00F22ECA"/>
    <w:rsid w:val="00F230AD"/>
    <w:rsid w:val="00F232B1"/>
    <w:rsid w:val="00F23A05"/>
    <w:rsid w:val="00F23B3A"/>
    <w:rsid w:val="00F243B9"/>
    <w:rsid w:val="00F24414"/>
    <w:rsid w:val="00F24986"/>
    <w:rsid w:val="00F26E46"/>
    <w:rsid w:val="00F271EC"/>
    <w:rsid w:val="00F27409"/>
    <w:rsid w:val="00F30223"/>
    <w:rsid w:val="00F319C7"/>
    <w:rsid w:val="00F31B06"/>
    <w:rsid w:val="00F31FBB"/>
    <w:rsid w:val="00F3203C"/>
    <w:rsid w:val="00F32608"/>
    <w:rsid w:val="00F341A7"/>
    <w:rsid w:val="00F34279"/>
    <w:rsid w:val="00F34697"/>
    <w:rsid w:val="00F34A3C"/>
    <w:rsid w:val="00F354FC"/>
    <w:rsid w:val="00F3599C"/>
    <w:rsid w:val="00F35CD9"/>
    <w:rsid w:val="00F36FF0"/>
    <w:rsid w:val="00F3706A"/>
    <w:rsid w:val="00F37C9D"/>
    <w:rsid w:val="00F37CD5"/>
    <w:rsid w:val="00F407DC"/>
    <w:rsid w:val="00F41128"/>
    <w:rsid w:val="00F41371"/>
    <w:rsid w:val="00F41459"/>
    <w:rsid w:val="00F4216E"/>
    <w:rsid w:val="00F4297D"/>
    <w:rsid w:val="00F43B41"/>
    <w:rsid w:val="00F43BAD"/>
    <w:rsid w:val="00F43D2F"/>
    <w:rsid w:val="00F43FC0"/>
    <w:rsid w:val="00F44190"/>
    <w:rsid w:val="00F44339"/>
    <w:rsid w:val="00F44594"/>
    <w:rsid w:val="00F44962"/>
    <w:rsid w:val="00F44B1C"/>
    <w:rsid w:val="00F44B23"/>
    <w:rsid w:val="00F45648"/>
    <w:rsid w:val="00F45DE8"/>
    <w:rsid w:val="00F460F5"/>
    <w:rsid w:val="00F46C8F"/>
    <w:rsid w:val="00F47384"/>
    <w:rsid w:val="00F474FF"/>
    <w:rsid w:val="00F47873"/>
    <w:rsid w:val="00F4789F"/>
    <w:rsid w:val="00F47CDC"/>
    <w:rsid w:val="00F5100B"/>
    <w:rsid w:val="00F53247"/>
    <w:rsid w:val="00F5419E"/>
    <w:rsid w:val="00F541B0"/>
    <w:rsid w:val="00F54304"/>
    <w:rsid w:val="00F551E1"/>
    <w:rsid w:val="00F55308"/>
    <w:rsid w:val="00F5557A"/>
    <w:rsid w:val="00F55A82"/>
    <w:rsid w:val="00F55E87"/>
    <w:rsid w:val="00F55F21"/>
    <w:rsid w:val="00F562D5"/>
    <w:rsid w:val="00F57088"/>
    <w:rsid w:val="00F5771D"/>
    <w:rsid w:val="00F57C59"/>
    <w:rsid w:val="00F60318"/>
    <w:rsid w:val="00F60515"/>
    <w:rsid w:val="00F60626"/>
    <w:rsid w:val="00F608D5"/>
    <w:rsid w:val="00F60F7D"/>
    <w:rsid w:val="00F60F8B"/>
    <w:rsid w:val="00F6231B"/>
    <w:rsid w:val="00F6269E"/>
    <w:rsid w:val="00F62BDA"/>
    <w:rsid w:val="00F63466"/>
    <w:rsid w:val="00F63FCA"/>
    <w:rsid w:val="00F656EC"/>
    <w:rsid w:val="00F65D9B"/>
    <w:rsid w:val="00F6604A"/>
    <w:rsid w:val="00F662F7"/>
    <w:rsid w:val="00F6674D"/>
    <w:rsid w:val="00F66F61"/>
    <w:rsid w:val="00F67FED"/>
    <w:rsid w:val="00F700AB"/>
    <w:rsid w:val="00F703CB"/>
    <w:rsid w:val="00F70C78"/>
    <w:rsid w:val="00F71181"/>
    <w:rsid w:val="00F7121C"/>
    <w:rsid w:val="00F71AD4"/>
    <w:rsid w:val="00F7279F"/>
    <w:rsid w:val="00F728E3"/>
    <w:rsid w:val="00F72FF9"/>
    <w:rsid w:val="00F734F2"/>
    <w:rsid w:val="00F73C61"/>
    <w:rsid w:val="00F74570"/>
    <w:rsid w:val="00F74B70"/>
    <w:rsid w:val="00F74EB9"/>
    <w:rsid w:val="00F757A0"/>
    <w:rsid w:val="00F7614B"/>
    <w:rsid w:val="00F77075"/>
    <w:rsid w:val="00F8076E"/>
    <w:rsid w:val="00F815AC"/>
    <w:rsid w:val="00F818E3"/>
    <w:rsid w:val="00F81CD5"/>
    <w:rsid w:val="00F81DA6"/>
    <w:rsid w:val="00F8264F"/>
    <w:rsid w:val="00F8278B"/>
    <w:rsid w:val="00F82B43"/>
    <w:rsid w:val="00F82C98"/>
    <w:rsid w:val="00F8328B"/>
    <w:rsid w:val="00F83F77"/>
    <w:rsid w:val="00F85066"/>
    <w:rsid w:val="00F85BCE"/>
    <w:rsid w:val="00F85E1E"/>
    <w:rsid w:val="00F85F39"/>
    <w:rsid w:val="00F8678F"/>
    <w:rsid w:val="00F869B9"/>
    <w:rsid w:val="00F8754F"/>
    <w:rsid w:val="00F87797"/>
    <w:rsid w:val="00F8783D"/>
    <w:rsid w:val="00F879AF"/>
    <w:rsid w:val="00F87A34"/>
    <w:rsid w:val="00F87BB9"/>
    <w:rsid w:val="00F9130C"/>
    <w:rsid w:val="00F92516"/>
    <w:rsid w:val="00F929CE"/>
    <w:rsid w:val="00F929EF"/>
    <w:rsid w:val="00F92B3D"/>
    <w:rsid w:val="00F92BD7"/>
    <w:rsid w:val="00F931C5"/>
    <w:rsid w:val="00F932F9"/>
    <w:rsid w:val="00F93412"/>
    <w:rsid w:val="00F965E8"/>
    <w:rsid w:val="00F96DEE"/>
    <w:rsid w:val="00F97511"/>
    <w:rsid w:val="00F97A68"/>
    <w:rsid w:val="00F97CB0"/>
    <w:rsid w:val="00FA007A"/>
    <w:rsid w:val="00FA00E8"/>
    <w:rsid w:val="00FA026C"/>
    <w:rsid w:val="00FA0352"/>
    <w:rsid w:val="00FA03B8"/>
    <w:rsid w:val="00FA106C"/>
    <w:rsid w:val="00FA1DB6"/>
    <w:rsid w:val="00FA1FFF"/>
    <w:rsid w:val="00FA25B7"/>
    <w:rsid w:val="00FA36AC"/>
    <w:rsid w:val="00FA3B86"/>
    <w:rsid w:val="00FA403B"/>
    <w:rsid w:val="00FA43D4"/>
    <w:rsid w:val="00FA5706"/>
    <w:rsid w:val="00FA5E55"/>
    <w:rsid w:val="00FA7550"/>
    <w:rsid w:val="00FB06D3"/>
    <w:rsid w:val="00FB0903"/>
    <w:rsid w:val="00FB13C4"/>
    <w:rsid w:val="00FB13F8"/>
    <w:rsid w:val="00FB191B"/>
    <w:rsid w:val="00FB204E"/>
    <w:rsid w:val="00FB2586"/>
    <w:rsid w:val="00FB26D3"/>
    <w:rsid w:val="00FB2FC9"/>
    <w:rsid w:val="00FB34FF"/>
    <w:rsid w:val="00FB390E"/>
    <w:rsid w:val="00FB46CC"/>
    <w:rsid w:val="00FB58BE"/>
    <w:rsid w:val="00FB5A1B"/>
    <w:rsid w:val="00FB5AE4"/>
    <w:rsid w:val="00FB6563"/>
    <w:rsid w:val="00FB6FE2"/>
    <w:rsid w:val="00FB7EE4"/>
    <w:rsid w:val="00FC0F02"/>
    <w:rsid w:val="00FC15D1"/>
    <w:rsid w:val="00FC20B0"/>
    <w:rsid w:val="00FC2D61"/>
    <w:rsid w:val="00FC2DDA"/>
    <w:rsid w:val="00FC37DF"/>
    <w:rsid w:val="00FC3946"/>
    <w:rsid w:val="00FC3A7E"/>
    <w:rsid w:val="00FC3DE3"/>
    <w:rsid w:val="00FC3E88"/>
    <w:rsid w:val="00FC4087"/>
    <w:rsid w:val="00FC445C"/>
    <w:rsid w:val="00FC4695"/>
    <w:rsid w:val="00FC4FFE"/>
    <w:rsid w:val="00FC5CD1"/>
    <w:rsid w:val="00FC5DE4"/>
    <w:rsid w:val="00FC6A26"/>
    <w:rsid w:val="00FC74BA"/>
    <w:rsid w:val="00FC7CAA"/>
    <w:rsid w:val="00FC7F3F"/>
    <w:rsid w:val="00FD0392"/>
    <w:rsid w:val="00FD0720"/>
    <w:rsid w:val="00FD12BD"/>
    <w:rsid w:val="00FD18BE"/>
    <w:rsid w:val="00FD2B26"/>
    <w:rsid w:val="00FD307C"/>
    <w:rsid w:val="00FD371A"/>
    <w:rsid w:val="00FD3762"/>
    <w:rsid w:val="00FD4331"/>
    <w:rsid w:val="00FD4FD5"/>
    <w:rsid w:val="00FD53D3"/>
    <w:rsid w:val="00FD56A4"/>
    <w:rsid w:val="00FD5773"/>
    <w:rsid w:val="00FD595C"/>
    <w:rsid w:val="00FD6131"/>
    <w:rsid w:val="00FD6189"/>
    <w:rsid w:val="00FD6540"/>
    <w:rsid w:val="00FD6A40"/>
    <w:rsid w:val="00FD7DB7"/>
    <w:rsid w:val="00FE0556"/>
    <w:rsid w:val="00FE19E4"/>
    <w:rsid w:val="00FE3B31"/>
    <w:rsid w:val="00FE3D4F"/>
    <w:rsid w:val="00FE42F7"/>
    <w:rsid w:val="00FE4604"/>
    <w:rsid w:val="00FE4896"/>
    <w:rsid w:val="00FE4907"/>
    <w:rsid w:val="00FE493D"/>
    <w:rsid w:val="00FE4FB4"/>
    <w:rsid w:val="00FE5183"/>
    <w:rsid w:val="00FE5644"/>
    <w:rsid w:val="00FE56E3"/>
    <w:rsid w:val="00FE588E"/>
    <w:rsid w:val="00FE6472"/>
    <w:rsid w:val="00FE649E"/>
    <w:rsid w:val="00FE76EC"/>
    <w:rsid w:val="00FE77A8"/>
    <w:rsid w:val="00FF0DA6"/>
    <w:rsid w:val="00FF168F"/>
    <w:rsid w:val="00FF1B80"/>
    <w:rsid w:val="00FF243F"/>
    <w:rsid w:val="00FF2EF0"/>
    <w:rsid w:val="00FF306F"/>
    <w:rsid w:val="00FF4074"/>
    <w:rsid w:val="00FF4261"/>
    <w:rsid w:val="00FF4590"/>
    <w:rsid w:val="00FF4747"/>
    <w:rsid w:val="00FF484F"/>
    <w:rsid w:val="00FF4A39"/>
    <w:rsid w:val="00FF5D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193DB630"/>
  <w15:docId w15:val="{A43B8864-CD03-4B51-B414-BD374CE8A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C2FD7"/>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semiHidden/>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5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semiHidden/>
    <w:rsid w:val="00DD1259"/>
  </w:style>
  <w:style w:type="paragraph" w:styleId="Testonotadichiusura">
    <w:name w:val="endnote text"/>
    <w:basedOn w:val="Normale"/>
    <w:link w:val="TestonotadichiusuraCarattere"/>
    <w:unhideWhenUsed/>
    <w:rsid w:val="00C91EBC"/>
    <w:rPr>
      <w:sz w:val="20"/>
      <w:szCs w:val="20"/>
    </w:rPr>
  </w:style>
  <w:style w:type="character" w:customStyle="1" w:styleId="TestonotadichiusuraCarattere">
    <w:name w:val="Testo nota di chiusura Carattere"/>
    <w:basedOn w:val="Carpredefinitoparagrafo"/>
    <w:link w:val="Testonotadichiusura"/>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paragraph" w:customStyle="1" w:styleId="RAtesto">
    <w:name w:val="RA_testo"/>
    <w:basedOn w:val="Normale"/>
    <w:qFormat/>
    <w:rsid w:val="00260A0C"/>
    <w:pPr>
      <w:spacing w:after="120" w:line="259" w:lineRule="auto"/>
      <w:jc w:val="both"/>
    </w:pPr>
    <w:rPr>
      <w:rFonts w:ascii="Arial Narrow" w:hAnsi="Arial Narrow" w:cs="Arial"/>
      <w:sz w:val="23"/>
      <w:szCs w:val="23"/>
    </w:rPr>
  </w:style>
  <w:style w:type="paragraph" w:customStyle="1" w:styleId="RAnota">
    <w:name w:val="RA_nota"/>
    <w:basedOn w:val="Normale"/>
    <w:qFormat/>
    <w:rsid w:val="00260A0C"/>
    <w:pPr>
      <w:ind w:left="426" w:hanging="426"/>
    </w:pPr>
    <w:rPr>
      <w:rFonts w:ascii="Arial Narrow" w:hAnsi="Arial Narrow" w:cs="Arial"/>
      <w:sz w:val="18"/>
      <w:szCs w:val="18"/>
    </w:rPr>
  </w:style>
  <w:style w:type="character" w:customStyle="1" w:styleId="Menzionenonrisolta1">
    <w:name w:val="Menzione non risolta1"/>
    <w:basedOn w:val="Carpredefinitoparagrafo"/>
    <w:uiPriority w:val="99"/>
    <w:semiHidden/>
    <w:unhideWhenUsed/>
    <w:rsid w:val="00486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3577">
      <w:bodyDiv w:val="1"/>
      <w:marLeft w:val="0"/>
      <w:marRight w:val="0"/>
      <w:marTop w:val="0"/>
      <w:marBottom w:val="0"/>
      <w:divBdr>
        <w:top w:val="none" w:sz="0" w:space="0" w:color="auto"/>
        <w:left w:val="none" w:sz="0" w:space="0" w:color="auto"/>
        <w:bottom w:val="none" w:sz="0" w:space="0" w:color="auto"/>
        <w:right w:val="none" w:sz="0" w:space="0" w:color="auto"/>
      </w:divBdr>
    </w:div>
    <w:div w:id="75832699">
      <w:bodyDiv w:val="1"/>
      <w:marLeft w:val="0"/>
      <w:marRight w:val="0"/>
      <w:marTop w:val="0"/>
      <w:marBottom w:val="0"/>
      <w:divBdr>
        <w:top w:val="none" w:sz="0" w:space="0" w:color="auto"/>
        <w:left w:val="none" w:sz="0" w:space="0" w:color="auto"/>
        <w:bottom w:val="none" w:sz="0" w:space="0" w:color="auto"/>
        <w:right w:val="none" w:sz="0" w:space="0" w:color="auto"/>
      </w:divBdr>
    </w:div>
    <w:div w:id="80224668">
      <w:bodyDiv w:val="1"/>
      <w:marLeft w:val="0"/>
      <w:marRight w:val="0"/>
      <w:marTop w:val="0"/>
      <w:marBottom w:val="0"/>
      <w:divBdr>
        <w:top w:val="none" w:sz="0" w:space="0" w:color="auto"/>
        <w:left w:val="none" w:sz="0" w:space="0" w:color="auto"/>
        <w:bottom w:val="none" w:sz="0" w:space="0" w:color="auto"/>
        <w:right w:val="none" w:sz="0" w:space="0" w:color="auto"/>
      </w:divBdr>
    </w:div>
    <w:div w:id="99687976">
      <w:bodyDiv w:val="1"/>
      <w:marLeft w:val="0"/>
      <w:marRight w:val="0"/>
      <w:marTop w:val="0"/>
      <w:marBottom w:val="0"/>
      <w:divBdr>
        <w:top w:val="none" w:sz="0" w:space="0" w:color="auto"/>
        <w:left w:val="none" w:sz="0" w:space="0" w:color="auto"/>
        <w:bottom w:val="none" w:sz="0" w:space="0" w:color="auto"/>
        <w:right w:val="none" w:sz="0" w:space="0" w:color="auto"/>
      </w:divBdr>
    </w:div>
    <w:div w:id="116797457">
      <w:bodyDiv w:val="1"/>
      <w:marLeft w:val="0"/>
      <w:marRight w:val="0"/>
      <w:marTop w:val="0"/>
      <w:marBottom w:val="0"/>
      <w:divBdr>
        <w:top w:val="none" w:sz="0" w:space="0" w:color="auto"/>
        <w:left w:val="none" w:sz="0" w:space="0" w:color="auto"/>
        <w:bottom w:val="none" w:sz="0" w:space="0" w:color="auto"/>
        <w:right w:val="none" w:sz="0" w:space="0" w:color="auto"/>
      </w:divBdr>
    </w:div>
    <w:div w:id="131019045">
      <w:bodyDiv w:val="1"/>
      <w:marLeft w:val="0"/>
      <w:marRight w:val="0"/>
      <w:marTop w:val="0"/>
      <w:marBottom w:val="0"/>
      <w:divBdr>
        <w:top w:val="none" w:sz="0" w:space="0" w:color="auto"/>
        <w:left w:val="none" w:sz="0" w:space="0" w:color="auto"/>
        <w:bottom w:val="none" w:sz="0" w:space="0" w:color="auto"/>
        <w:right w:val="none" w:sz="0" w:space="0" w:color="auto"/>
      </w:divBdr>
    </w:div>
    <w:div w:id="151600973">
      <w:bodyDiv w:val="1"/>
      <w:marLeft w:val="0"/>
      <w:marRight w:val="0"/>
      <w:marTop w:val="0"/>
      <w:marBottom w:val="0"/>
      <w:divBdr>
        <w:top w:val="none" w:sz="0" w:space="0" w:color="auto"/>
        <w:left w:val="none" w:sz="0" w:space="0" w:color="auto"/>
        <w:bottom w:val="none" w:sz="0" w:space="0" w:color="auto"/>
        <w:right w:val="none" w:sz="0" w:space="0" w:color="auto"/>
      </w:divBdr>
    </w:div>
    <w:div w:id="161939806">
      <w:bodyDiv w:val="1"/>
      <w:marLeft w:val="0"/>
      <w:marRight w:val="0"/>
      <w:marTop w:val="0"/>
      <w:marBottom w:val="0"/>
      <w:divBdr>
        <w:top w:val="none" w:sz="0" w:space="0" w:color="auto"/>
        <w:left w:val="none" w:sz="0" w:space="0" w:color="auto"/>
        <w:bottom w:val="none" w:sz="0" w:space="0" w:color="auto"/>
        <w:right w:val="none" w:sz="0" w:space="0" w:color="auto"/>
      </w:divBdr>
    </w:div>
    <w:div w:id="182061675">
      <w:bodyDiv w:val="1"/>
      <w:marLeft w:val="0"/>
      <w:marRight w:val="0"/>
      <w:marTop w:val="0"/>
      <w:marBottom w:val="0"/>
      <w:divBdr>
        <w:top w:val="none" w:sz="0" w:space="0" w:color="auto"/>
        <w:left w:val="none" w:sz="0" w:space="0" w:color="auto"/>
        <w:bottom w:val="none" w:sz="0" w:space="0" w:color="auto"/>
        <w:right w:val="none" w:sz="0" w:space="0" w:color="auto"/>
      </w:divBdr>
    </w:div>
    <w:div w:id="196506439">
      <w:bodyDiv w:val="1"/>
      <w:marLeft w:val="0"/>
      <w:marRight w:val="0"/>
      <w:marTop w:val="0"/>
      <w:marBottom w:val="0"/>
      <w:divBdr>
        <w:top w:val="none" w:sz="0" w:space="0" w:color="auto"/>
        <w:left w:val="none" w:sz="0" w:space="0" w:color="auto"/>
        <w:bottom w:val="none" w:sz="0" w:space="0" w:color="auto"/>
        <w:right w:val="none" w:sz="0" w:space="0" w:color="auto"/>
      </w:divBdr>
    </w:div>
    <w:div w:id="220098899">
      <w:bodyDiv w:val="1"/>
      <w:marLeft w:val="0"/>
      <w:marRight w:val="0"/>
      <w:marTop w:val="0"/>
      <w:marBottom w:val="0"/>
      <w:divBdr>
        <w:top w:val="none" w:sz="0" w:space="0" w:color="auto"/>
        <w:left w:val="none" w:sz="0" w:space="0" w:color="auto"/>
        <w:bottom w:val="none" w:sz="0" w:space="0" w:color="auto"/>
        <w:right w:val="none" w:sz="0" w:space="0" w:color="auto"/>
      </w:divBdr>
    </w:div>
    <w:div w:id="228618688">
      <w:bodyDiv w:val="1"/>
      <w:marLeft w:val="0"/>
      <w:marRight w:val="0"/>
      <w:marTop w:val="0"/>
      <w:marBottom w:val="0"/>
      <w:divBdr>
        <w:top w:val="none" w:sz="0" w:space="0" w:color="auto"/>
        <w:left w:val="none" w:sz="0" w:space="0" w:color="auto"/>
        <w:bottom w:val="none" w:sz="0" w:space="0" w:color="auto"/>
        <w:right w:val="none" w:sz="0" w:space="0" w:color="auto"/>
      </w:divBdr>
    </w:div>
    <w:div w:id="241377545">
      <w:bodyDiv w:val="1"/>
      <w:marLeft w:val="0"/>
      <w:marRight w:val="0"/>
      <w:marTop w:val="0"/>
      <w:marBottom w:val="0"/>
      <w:divBdr>
        <w:top w:val="none" w:sz="0" w:space="0" w:color="auto"/>
        <w:left w:val="none" w:sz="0" w:space="0" w:color="auto"/>
        <w:bottom w:val="none" w:sz="0" w:space="0" w:color="auto"/>
        <w:right w:val="none" w:sz="0" w:space="0" w:color="auto"/>
      </w:divBdr>
    </w:div>
    <w:div w:id="260375786">
      <w:bodyDiv w:val="1"/>
      <w:marLeft w:val="0"/>
      <w:marRight w:val="0"/>
      <w:marTop w:val="0"/>
      <w:marBottom w:val="0"/>
      <w:divBdr>
        <w:top w:val="none" w:sz="0" w:space="0" w:color="auto"/>
        <w:left w:val="none" w:sz="0" w:space="0" w:color="auto"/>
        <w:bottom w:val="none" w:sz="0" w:space="0" w:color="auto"/>
        <w:right w:val="none" w:sz="0" w:space="0" w:color="auto"/>
      </w:divBdr>
    </w:div>
    <w:div w:id="273749686">
      <w:bodyDiv w:val="1"/>
      <w:marLeft w:val="0"/>
      <w:marRight w:val="0"/>
      <w:marTop w:val="0"/>
      <w:marBottom w:val="0"/>
      <w:divBdr>
        <w:top w:val="none" w:sz="0" w:space="0" w:color="auto"/>
        <w:left w:val="none" w:sz="0" w:space="0" w:color="auto"/>
        <w:bottom w:val="none" w:sz="0" w:space="0" w:color="auto"/>
        <w:right w:val="none" w:sz="0" w:space="0" w:color="auto"/>
      </w:divBdr>
    </w:div>
    <w:div w:id="273755985">
      <w:bodyDiv w:val="1"/>
      <w:marLeft w:val="0"/>
      <w:marRight w:val="0"/>
      <w:marTop w:val="0"/>
      <w:marBottom w:val="0"/>
      <w:divBdr>
        <w:top w:val="none" w:sz="0" w:space="0" w:color="auto"/>
        <w:left w:val="none" w:sz="0" w:space="0" w:color="auto"/>
        <w:bottom w:val="none" w:sz="0" w:space="0" w:color="auto"/>
        <w:right w:val="none" w:sz="0" w:space="0" w:color="auto"/>
      </w:divBdr>
    </w:div>
    <w:div w:id="277952860">
      <w:bodyDiv w:val="1"/>
      <w:marLeft w:val="0"/>
      <w:marRight w:val="0"/>
      <w:marTop w:val="0"/>
      <w:marBottom w:val="0"/>
      <w:divBdr>
        <w:top w:val="none" w:sz="0" w:space="0" w:color="auto"/>
        <w:left w:val="none" w:sz="0" w:space="0" w:color="auto"/>
        <w:bottom w:val="none" w:sz="0" w:space="0" w:color="auto"/>
        <w:right w:val="none" w:sz="0" w:space="0" w:color="auto"/>
      </w:divBdr>
    </w:div>
    <w:div w:id="281107793">
      <w:bodyDiv w:val="1"/>
      <w:marLeft w:val="0"/>
      <w:marRight w:val="0"/>
      <w:marTop w:val="0"/>
      <w:marBottom w:val="0"/>
      <w:divBdr>
        <w:top w:val="none" w:sz="0" w:space="0" w:color="auto"/>
        <w:left w:val="none" w:sz="0" w:space="0" w:color="auto"/>
        <w:bottom w:val="none" w:sz="0" w:space="0" w:color="auto"/>
        <w:right w:val="none" w:sz="0" w:space="0" w:color="auto"/>
      </w:divBdr>
    </w:div>
    <w:div w:id="310909387">
      <w:bodyDiv w:val="1"/>
      <w:marLeft w:val="0"/>
      <w:marRight w:val="0"/>
      <w:marTop w:val="0"/>
      <w:marBottom w:val="0"/>
      <w:divBdr>
        <w:top w:val="none" w:sz="0" w:space="0" w:color="auto"/>
        <w:left w:val="none" w:sz="0" w:space="0" w:color="auto"/>
        <w:bottom w:val="none" w:sz="0" w:space="0" w:color="auto"/>
        <w:right w:val="none" w:sz="0" w:space="0" w:color="auto"/>
      </w:divBdr>
    </w:div>
    <w:div w:id="314335568">
      <w:bodyDiv w:val="1"/>
      <w:marLeft w:val="0"/>
      <w:marRight w:val="0"/>
      <w:marTop w:val="0"/>
      <w:marBottom w:val="0"/>
      <w:divBdr>
        <w:top w:val="none" w:sz="0" w:space="0" w:color="auto"/>
        <w:left w:val="none" w:sz="0" w:space="0" w:color="auto"/>
        <w:bottom w:val="none" w:sz="0" w:space="0" w:color="auto"/>
        <w:right w:val="none" w:sz="0" w:space="0" w:color="auto"/>
      </w:divBdr>
    </w:div>
    <w:div w:id="328607336">
      <w:bodyDiv w:val="1"/>
      <w:marLeft w:val="0"/>
      <w:marRight w:val="0"/>
      <w:marTop w:val="0"/>
      <w:marBottom w:val="0"/>
      <w:divBdr>
        <w:top w:val="none" w:sz="0" w:space="0" w:color="auto"/>
        <w:left w:val="none" w:sz="0" w:space="0" w:color="auto"/>
        <w:bottom w:val="none" w:sz="0" w:space="0" w:color="auto"/>
        <w:right w:val="none" w:sz="0" w:space="0" w:color="auto"/>
      </w:divBdr>
    </w:div>
    <w:div w:id="346368149">
      <w:bodyDiv w:val="1"/>
      <w:marLeft w:val="0"/>
      <w:marRight w:val="0"/>
      <w:marTop w:val="0"/>
      <w:marBottom w:val="0"/>
      <w:divBdr>
        <w:top w:val="none" w:sz="0" w:space="0" w:color="auto"/>
        <w:left w:val="none" w:sz="0" w:space="0" w:color="auto"/>
        <w:bottom w:val="none" w:sz="0" w:space="0" w:color="auto"/>
        <w:right w:val="none" w:sz="0" w:space="0" w:color="auto"/>
      </w:divBdr>
    </w:div>
    <w:div w:id="358314732">
      <w:bodyDiv w:val="1"/>
      <w:marLeft w:val="0"/>
      <w:marRight w:val="0"/>
      <w:marTop w:val="0"/>
      <w:marBottom w:val="0"/>
      <w:divBdr>
        <w:top w:val="none" w:sz="0" w:space="0" w:color="auto"/>
        <w:left w:val="none" w:sz="0" w:space="0" w:color="auto"/>
        <w:bottom w:val="none" w:sz="0" w:space="0" w:color="auto"/>
        <w:right w:val="none" w:sz="0" w:space="0" w:color="auto"/>
      </w:divBdr>
    </w:div>
    <w:div w:id="378364472">
      <w:bodyDiv w:val="1"/>
      <w:marLeft w:val="0"/>
      <w:marRight w:val="0"/>
      <w:marTop w:val="0"/>
      <w:marBottom w:val="0"/>
      <w:divBdr>
        <w:top w:val="none" w:sz="0" w:space="0" w:color="auto"/>
        <w:left w:val="none" w:sz="0" w:space="0" w:color="auto"/>
        <w:bottom w:val="none" w:sz="0" w:space="0" w:color="auto"/>
        <w:right w:val="none" w:sz="0" w:space="0" w:color="auto"/>
      </w:divBdr>
    </w:div>
    <w:div w:id="383480890">
      <w:bodyDiv w:val="1"/>
      <w:marLeft w:val="0"/>
      <w:marRight w:val="0"/>
      <w:marTop w:val="0"/>
      <w:marBottom w:val="0"/>
      <w:divBdr>
        <w:top w:val="none" w:sz="0" w:space="0" w:color="auto"/>
        <w:left w:val="none" w:sz="0" w:space="0" w:color="auto"/>
        <w:bottom w:val="none" w:sz="0" w:space="0" w:color="auto"/>
        <w:right w:val="none" w:sz="0" w:space="0" w:color="auto"/>
      </w:divBdr>
    </w:div>
    <w:div w:id="404114048">
      <w:bodyDiv w:val="1"/>
      <w:marLeft w:val="0"/>
      <w:marRight w:val="0"/>
      <w:marTop w:val="0"/>
      <w:marBottom w:val="0"/>
      <w:divBdr>
        <w:top w:val="none" w:sz="0" w:space="0" w:color="auto"/>
        <w:left w:val="none" w:sz="0" w:space="0" w:color="auto"/>
        <w:bottom w:val="none" w:sz="0" w:space="0" w:color="auto"/>
        <w:right w:val="none" w:sz="0" w:space="0" w:color="auto"/>
      </w:divBdr>
    </w:div>
    <w:div w:id="442918786">
      <w:bodyDiv w:val="1"/>
      <w:marLeft w:val="0"/>
      <w:marRight w:val="0"/>
      <w:marTop w:val="0"/>
      <w:marBottom w:val="0"/>
      <w:divBdr>
        <w:top w:val="none" w:sz="0" w:space="0" w:color="auto"/>
        <w:left w:val="none" w:sz="0" w:space="0" w:color="auto"/>
        <w:bottom w:val="none" w:sz="0" w:space="0" w:color="auto"/>
        <w:right w:val="none" w:sz="0" w:space="0" w:color="auto"/>
      </w:divBdr>
    </w:div>
    <w:div w:id="460540886">
      <w:bodyDiv w:val="1"/>
      <w:marLeft w:val="0"/>
      <w:marRight w:val="0"/>
      <w:marTop w:val="0"/>
      <w:marBottom w:val="0"/>
      <w:divBdr>
        <w:top w:val="none" w:sz="0" w:space="0" w:color="auto"/>
        <w:left w:val="none" w:sz="0" w:space="0" w:color="auto"/>
        <w:bottom w:val="none" w:sz="0" w:space="0" w:color="auto"/>
        <w:right w:val="none" w:sz="0" w:space="0" w:color="auto"/>
      </w:divBdr>
    </w:div>
    <w:div w:id="481629084">
      <w:bodyDiv w:val="1"/>
      <w:marLeft w:val="0"/>
      <w:marRight w:val="0"/>
      <w:marTop w:val="0"/>
      <w:marBottom w:val="0"/>
      <w:divBdr>
        <w:top w:val="none" w:sz="0" w:space="0" w:color="auto"/>
        <w:left w:val="none" w:sz="0" w:space="0" w:color="auto"/>
        <w:bottom w:val="none" w:sz="0" w:space="0" w:color="auto"/>
        <w:right w:val="none" w:sz="0" w:space="0" w:color="auto"/>
      </w:divBdr>
    </w:div>
    <w:div w:id="483282944">
      <w:bodyDiv w:val="1"/>
      <w:marLeft w:val="0"/>
      <w:marRight w:val="0"/>
      <w:marTop w:val="0"/>
      <w:marBottom w:val="0"/>
      <w:divBdr>
        <w:top w:val="none" w:sz="0" w:space="0" w:color="auto"/>
        <w:left w:val="none" w:sz="0" w:space="0" w:color="auto"/>
        <w:bottom w:val="none" w:sz="0" w:space="0" w:color="auto"/>
        <w:right w:val="none" w:sz="0" w:space="0" w:color="auto"/>
      </w:divBdr>
    </w:div>
    <w:div w:id="488790152">
      <w:bodyDiv w:val="1"/>
      <w:marLeft w:val="0"/>
      <w:marRight w:val="0"/>
      <w:marTop w:val="0"/>
      <w:marBottom w:val="0"/>
      <w:divBdr>
        <w:top w:val="none" w:sz="0" w:space="0" w:color="auto"/>
        <w:left w:val="none" w:sz="0" w:space="0" w:color="auto"/>
        <w:bottom w:val="none" w:sz="0" w:space="0" w:color="auto"/>
        <w:right w:val="none" w:sz="0" w:space="0" w:color="auto"/>
      </w:divBdr>
    </w:div>
    <w:div w:id="505364616">
      <w:bodyDiv w:val="1"/>
      <w:marLeft w:val="0"/>
      <w:marRight w:val="0"/>
      <w:marTop w:val="0"/>
      <w:marBottom w:val="0"/>
      <w:divBdr>
        <w:top w:val="none" w:sz="0" w:space="0" w:color="auto"/>
        <w:left w:val="none" w:sz="0" w:space="0" w:color="auto"/>
        <w:bottom w:val="none" w:sz="0" w:space="0" w:color="auto"/>
        <w:right w:val="none" w:sz="0" w:space="0" w:color="auto"/>
      </w:divBdr>
    </w:div>
    <w:div w:id="549466113">
      <w:bodyDiv w:val="1"/>
      <w:marLeft w:val="0"/>
      <w:marRight w:val="0"/>
      <w:marTop w:val="0"/>
      <w:marBottom w:val="0"/>
      <w:divBdr>
        <w:top w:val="none" w:sz="0" w:space="0" w:color="auto"/>
        <w:left w:val="none" w:sz="0" w:space="0" w:color="auto"/>
        <w:bottom w:val="none" w:sz="0" w:space="0" w:color="auto"/>
        <w:right w:val="none" w:sz="0" w:space="0" w:color="auto"/>
      </w:divBdr>
    </w:div>
    <w:div w:id="561211607">
      <w:bodyDiv w:val="1"/>
      <w:marLeft w:val="0"/>
      <w:marRight w:val="0"/>
      <w:marTop w:val="0"/>
      <w:marBottom w:val="0"/>
      <w:divBdr>
        <w:top w:val="none" w:sz="0" w:space="0" w:color="auto"/>
        <w:left w:val="none" w:sz="0" w:space="0" w:color="auto"/>
        <w:bottom w:val="none" w:sz="0" w:space="0" w:color="auto"/>
        <w:right w:val="none" w:sz="0" w:space="0" w:color="auto"/>
      </w:divBdr>
    </w:div>
    <w:div w:id="571937567">
      <w:bodyDiv w:val="1"/>
      <w:marLeft w:val="0"/>
      <w:marRight w:val="0"/>
      <w:marTop w:val="0"/>
      <w:marBottom w:val="0"/>
      <w:divBdr>
        <w:top w:val="none" w:sz="0" w:space="0" w:color="auto"/>
        <w:left w:val="none" w:sz="0" w:space="0" w:color="auto"/>
        <w:bottom w:val="none" w:sz="0" w:space="0" w:color="auto"/>
        <w:right w:val="none" w:sz="0" w:space="0" w:color="auto"/>
      </w:divBdr>
    </w:div>
    <w:div w:id="586231082">
      <w:bodyDiv w:val="1"/>
      <w:marLeft w:val="0"/>
      <w:marRight w:val="0"/>
      <w:marTop w:val="0"/>
      <w:marBottom w:val="0"/>
      <w:divBdr>
        <w:top w:val="none" w:sz="0" w:space="0" w:color="auto"/>
        <w:left w:val="none" w:sz="0" w:space="0" w:color="auto"/>
        <w:bottom w:val="none" w:sz="0" w:space="0" w:color="auto"/>
        <w:right w:val="none" w:sz="0" w:space="0" w:color="auto"/>
      </w:divBdr>
    </w:div>
    <w:div w:id="595021578">
      <w:bodyDiv w:val="1"/>
      <w:marLeft w:val="0"/>
      <w:marRight w:val="0"/>
      <w:marTop w:val="0"/>
      <w:marBottom w:val="0"/>
      <w:divBdr>
        <w:top w:val="none" w:sz="0" w:space="0" w:color="auto"/>
        <w:left w:val="none" w:sz="0" w:space="0" w:color="auto"/>
        <w:bottom w:val="none" w:sz="0" w:space="0" w:color="auto"/>
        <w:right w:val="none" w:sz="0" w:space="0" w:color="auto"/>
      </w:divBdr>
    </w:div>
    <w:div w:id="641081994">
      <w:bodyDiv w:val="1"/>
      <w:marLeft w:val="0"/>
      <w:marRight w:val="0"/>
      <w:marTop w:val="0"/>
      <w:marBottom w:val="0"/>
      <w:divBdr>
        <w:top w:val="none" w:sz="0" w:space="0" w:color="auto"/>
        <w:left w:val="none" w:sz="0" w:space="0" w:color="auto"/>
        <w:bottom w:val="none" w:sz="0" w:space="0" w:color="auto"/>
        <w:right w:val="none" w:sz="0" w:space="0" w:color="auto"/>
      </w:divBdr>
    </w:div>
    <w:div w:id="646937997">
      <w:bodyDiv w:val="1"/>
      <w:marLeft w:val="0"/>
      <w:marRight w:val="0"/>
      <w:marTop w:val="0"/>
      <w:marBottom w:val="0"/>
      <w:divBdr>
        <w:top w:val="none" w:sz="0" w:space="0" w:color="auto"/>
        <w:left w:val="none" w:sz="0" w:space="0" w:color="auto"/>
        <w:bottom w:val="none" w:sz="0" w:space="0" w:color="auto"/>
        <w:right w:val="none" w:sz="0" w:space="0" w:color="auto"/>
      </w:divBdr>
    </w:div>
    <w:div w:id="654643802">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669792425">
      <w:bodyDiv w:val="1"/>
      <w:marLeft w:val="0"/>
      <w:marRight w:val="0"/>
      <w:marTop w:val="0"/>
      <w:marBottom w:val="0"/>
      <w:divBdr>
        <w:top w:val="none" w:sz="0" w:space="0" w:color="auto"/>
        <w:left w:val="none" w:sz="0" w:space="0" w:color="auto"/>
        <w:bottom w:val="none" w:sz="0" w:space="0" w:color="auto"/>
        <w:right w:val="none" w:sz="0" w:space="0" w:color="auto"/>
      </w:divBdr>
    </w:div>
    <w:div w:id="727456357">
      <w:bodyDiv w:val="1"/>
      <w:marLeft w:val="0"/>
      <w:marRight w:val="0"/>
      <w:marTop w:val="0"/>
      <w:marBottom w:val="0"/>
      <w:divBdr>
        <w:top w:val="none" w:sz="0" w:space="0" w:color="auto"/>
        <w:left w:val="none" w:sz="0" w:space="0" w:color="auto"/>
        <w:bottom w:val="none" w:sz="0" w:space="0" w:color="auto"/>
        <w:right w:val="none" w:sz="0" w:space="0" w:color="auto"/>
      </w:divBdr>
    </w:div>
    <w:div w:id="743843441">
      <w:bodyDiv w:val="1"/>
      <w:marLeft w:val="0"/>
      <w:marRight w:val="0"/>
      <w:marTop w:val="0"/>
      <w:marBottom w:val="0"/>
      <w:divBdr>
        <w:top w:val="none" w:sz="0" w:space="0" w:color="auto"/>
        <w:left w:val="none" w:sz="0" w:space="0" w:color="auto"/>
        <w:bottom w:val="none" w:sz="0" w:space="0" w:color="auto"/>
        <w:right w:val="none" w:sz="0" w:space="0" w:color="auto"/>
      </w:divBdr>
    </w:div>
    <w:div w:id="748114000">
      <w:bodyDiv w:val="1"/>
      <w:marLeft w:val="0"/>
      <w:marRight w:val="0"/>
      <w:marTop w:val="0"/>
      <w:marBottom w:val="0"/>
      <w:divBdr>
        <w:top w:val="none" w:sz="0" w:space="0" w:color="auto"/>
        <w:left w:val="none" w:sz="0" w:space="0" w:color="auto"/>
        <w:bottom w:val="none" w:sz="0" w:space="0" w:color="auto"/>
        <w:right w:val="none" w:sz="0" w:space="0" w:color="auto"/>
      </w:divBdr>
    </w:div>
    <w:div w:id="767044012">
      <w:bodyDiv w:val="1"/>
      <w:marLeft w:val="0"/>
      <w:marRight w:val="0"/>
      <w:marTop w:val="0"/>
      <w:marBottom w:val="0"/>
      <w:divBdr>
        <w:top w:val="none" w:sz="0" w:space="0" w:color="auto"/>
        <w:left w:val="none" w:sz="0" w:space="0" w:color="auto"/>
        <w:bottom w:val="none" w:sz="0" w:space="0" w:color="auto"/>
        <w:right w:val="none" w:sz="0" w:space="0" w:color="auto"/>
      </w:divBdr>
    </w:div>
    <w:div w:id="781459107">
      <w:bodyDiv w:val="1"/>
      <w:marLeft w:val="0"/>
      <w:marRight w:val="0"/>
      <w:marTop w:val="0"/>
      <w:marBottom w:val="0"/>
      <w:divBdr>
        <w:top w:val="none" w:sz="0" w:space="0" w:color="auto"/>
        <w:left w:val="none" w:sz="0" w:space="0" w:color="auto"/>
        <w:bottom w:val="none" w:sz="0" w:space="0" w:color="auto"/>
        <w:right w:val="none" w:sz="0" w:space="0" w:color="auto"/>
      </w:divBdr>
    </w:div>
    <w:div w:id="788360782">
      <w:bodyDiv w:val="1"/>
      <w:marLeft w:val="0"/>
      <w:marRight w:val="0"/>
      <w:marTop w:val="0"/>
      <w:marBottom w:val="0"/>
      <w:divBdr>
        <w:top w:val="none" w:sz="0" w:space="0" w:color="auto"/>
        <w:left w:val="none" w:sz="0" w:space="0" w:color="auto"/>
        <w:bottom w:val="none" w:sz="0" w:space="0" w:color="auto"/>
        <w:right w:val="none" w:sz="0" w:space="0" w:color="auto"/>
      </w:divBdr>
    </w:div>
    <w:div w:id="794299938">
      <w:bodyDiv w:val="1"/>
      <w:marLeft w:val="0"/>
      <w:marRight w:val="0"/>
      <w:marTop w:val="0"/>
      <w:marBottom w:val="0"/>
      <w:divBdr>
        <w:top w:val="none" w:sz="0" w:space="0" w:color="auto"/>
        <w:left w:val="none" w:sz="0" w:space="0" w:color="auto"/>
        <w:bottom w:val="none" w:sz="0" w:space="0" w:color="auto"/>
        <w:right w:val="none" w:sz="0" w:space="0" w:color="auto"/>
      </w:divBdr>
    </w:div>
    <w:div w:id="805395479">
      <w:bodyDiv w:val="1"/>
      <w:marLeft w:val="0"/>
      <w:marRight w:val="0"/>
      <w:marTop w:val="0"/>
      <w:marBottom w:val="0"/>
      <w:divBdr>
        <w:top w:val="none" w:sz="0" w:space="0" w:color="auto"/>
        <w:left w:val="none" w:sz="0" w:space="0" w:color="auto"/>
        <w:bottom w:val="none" w:sz="0" w:space="0" w:color="auto"/>
        <w:right w:val="none" w:sz="0" w:space="0" w:color="auto"/>
      </w:divBdr>
    </w:div>
    <w:div w:id="829558394">
      <w:bodyDiv w:val="1"/>
      <w:marLeft w:val="0"/>
      <w:marRight w:val="0"/>
      <w:marTop w:val="0"/>
      <w:marBottom w:val="0"/>
      <w:divBdr>
        <w:top w:val="none" w:sz="0" w:space="0" w:color="auto"/>
        <w:left w:val="none" w:sz="0" w:space="0" w:color="auto"/>
        <w:bottom w:val="none" w:sz="0" w:space="0" w:color="auto"/>
        <w:right w:val="none" w:sz="0" w:space="0" w:color="auto"/>
      </w:divBdr>
    </w:div>
    <w:div w:id="876544728">
      <w:bodyDiv w:val="1"/>
      <w:marLeft w:val="0"/>
      <w:marRight w:val="0"/>
      <w:marTop w:val="0"/>
      <w:marBottom w:val="0"/>
      <w:divBdr>
        <w:top w:val="none" w:sz="0" w:space="0" w:color="auto"/>
        <w:left w:val="none" w:sz="0" w:space="0" w:color="auto"/>
        <w:bottom w:val="none" w:sz="0" w:space="0" w:color="auto"/>
        <w:right w:val="none" w:sz="0" w:space="0" w:color="auto"/>
      </w:divBdr>
    </w:div>
    <w:div w:id="882055391">
      <w:bodyDiv w:val="1"/>
      <w:marLeft w:val="0"/>
      <w:marRight w:val="0"/>
      <w:marTop w:val="0"/>
      <w:marBottom w:val="0"/>
      <w:divBdr>
        <w:top w:val="none" w:sz="0" w:space="0" w:color="auto"/>
        <w:left w:val="none" w:sz="0" w:space="0" w:color="auto"/>
        <w:bottom w:val="none" w:sz="0" w:space="0" w:color="auto"/>
        <w:right w:val="none" w:sz="0" w:space="0" w:color="auto"/>
      </w:divBdr>
    </w:div>
    <w:div w:id="924532849">
      <w:bodyDiv w:val="1"/>
      <w:marLeft w:val="0"/>
      <w:marRight w:val="0"/>
      <w:marTop w:val="0"/>
      <w:marBottom w:val="0"/>
      <w:divBdr>
        <w:top w:val="none" w:sz="0" w:space="0" w:color="auto"/>
        <w:left w:val="none" w:sz="0" w:space="0" w:color="auto"/>
        <w:bottom w:val="none" w:sz="0" w:space="0" w:color="auto"/>
        <w:right w:val="none" w:sz="0" w:space="0" w:color="auto"/>
      </w:divBdr>
    </w:div>
    <w:div w:id="997459047">
      <w:bodyDiv w:val="1"/>
      <w:marLeft w:val="0"/>
      <w:marRight w:val="0"/>
      <w:marTop w:val="0"/>
      <w:marBottom w:val="0"/>
      <w:divBdr>
        <w:top w:val="none" w:sz="0" w:space="0" w:color="auto"/>
        <w:left w:val="none" w:sz="0" w:space="0" w:color="auto"/>
        <w:bottom w:val="none" w:sz="0" w:space="0" w:color="auto"/>
        <w:right w:val="none" w:sz="0" w:space="0" w:color="auto"/>
      </w:divBdr>
    </w:div>
    <w:div w:id="1000810957">
      <w:bodyDiv w:val="1"/>
      <w:marLeft w:val="0"/>
      <w:marRight w:val="0"/>
      <w:marTop w:val="0"/>
      <w:marBottom w:val="0"/>
      <w:divBdr>
        <w:top w:val="none" w:sz="0" w:space="0" w:color="auto"/>
        <w:left w:val="none" w:sz="0" w:space="0" w:color="auto"/>
        <w:bottom w:val="none" w:sz="0" w:space="0" w:color="auto"/>
        <w:right w:val="none" w:sz="0" w:space="0" w:color="auto"/>
      </w:divBdr>
    </w:div>
    <w:div w:id="1010062292">
      <w:bodyDiv w:val="1"/>
      <w:marLeft w:val="0"/>
      <w:marRight w:val="0"/>
      <w:marTop w:val="0"/>
      <w:marBottom w:val="0"/>
      <w:divBdr>
        <w:top w:val="none" w:sz="0" w:space="0" w:color="auto"/>
        <w:left w:val="none" w:sz="0" w:space="0" w:color="auto"/>
        <w:bottom w:val="none" w:sz="0" w:space="0" w:color="auto"/>
        <w:right w:val="none" w:sz="0" w:space="0" w:color="auto"/>
      </w:divBdr>
    </w:div>
    <w:div w:id="1065683405">
      <w:bodyDiv w:val="1"/>
      <w:marLeft w:val="0"/>
      <w:marRight w:val="0"/>
      <w:marTop w:val="0"/>
      <w:marBottom w:val="0"/>
      <w:divBdr>
        <w:top w:val="none" w:sz="0" w:space="0" w:color="auto"/>
        <w:left w:val="none" w:sz="0" w:space="0" w:color="auto"/>
        <w:bottom w:val="none" w:sz="0" w:space="0" w:color="auto"/>
        <w:right w:val="none" w:sz="0" w:space="0" w:color="auto"/>
      </w:divBdr>
    </w:div>
    <w:div w:id="1072045808">
      <w:bodyDiv w:val="1"/>
      <w:marLeft w:val="0"/>
      <w:marRight w:val="0"/>
      <w:marTop w:val="0"/>
      <w:marBottom w:val="0"/>
      <w:divBdr>
        <w:top w:val="none" w:sz="0" w:space="0" w:color="auto"/>
        <w:left w:val="none" w:sz="0" w:space="0" w:color="auto"/>
        <w:bottom w:val="none" w:sz="0" w:space="0" w:color="auto"/>
        <w:right w:val="none" w:sz="0" w:space="0" w:color="auto"/>
      </w:divBdr>
    </w:div>
    <w:div w:id="1090808564">
      <w:bodyDiv w:val="1"/>
      <w:marLeft w:val="0"/>
      <w:marRight w:val="0"/>
      <w:marTop w:val="0"/>
      <w:marBottom w:val="0"/>
      <w:divBdr>
        <w:top w:val="none" w:sz="0" w:space="0" w:color="auto"/>
        <w:left w:val="none" w:sz="0" w:space="0" w:color="auto"/>
        <w:bottom w:val="none" w:sz="0" w:space="0" w:color="auto"/>
        <w:right w:val="none" w:sz="0" w:space="0" w:color="auto"/>
      </w:divBdr>
    </w:div>
    <w:div w:id="1098210250">
      <w:bodyDiv w:val="1"/>
      <w:marLeft w:val="0"/>
      <w:marRight w:val="0"/>
      <w:marTop w:val="0"/>
      <w:marBottom w:val="0"/>
      <w:divBdr>
        <w:top w:val="none" w:sz="0" w:space="0" w:color="auto"/>
        <w:left w:val="none" w:sz="0" w:space="0" w:color="auto"/>
        <w:bottom w:val="none" w:sz="0" w:space="0" w:color="auto"/>
        <w:right w:val="none" w:sz="0" w:space="0" w:color="auto"/>
      </w:divBdr>
    </w:div>
    <w:div w:id="1122068288">
      <w:bodyDiv w:val="1"/>
      <w:marLeft w:val="0"/>
      <w:marRight w:val="0"/>
      <w:marTop w:val="0"/>
      <w:marBottom w:val="0"/>
      <w:divBdr>
        <w:top w:val="none" w:sz="0" w:space="0" w:color="auto"/>
        <w:left w:val="none" w:sz="0" w:space="0" w:color="auto"/>
        <w:bottom w:val="none" w:sz="0" w:space="0" w:color="auto"/>
        <w:right w:val="none" w:sz="0" w:space="0" w:color="auto"/>
      </w:divBdr>
    </w:div>
    <w:div w:id="1125389453">
      <w:bodyDiv w:val="1"/>
      <w:marLeft w:val="0"/>
      <w:marRight w:val="0"/>
      <w:marTop w:val="0"/>
      <w:marBottom w:val="0"/>
      <w:divBdr>
        <w:top w:val="none" w:sz="0" w:space="0" w:color="auto"/>
        <w:left w:val="none" w:sz="0" w:space="0" w:color="auto"/>
        <w:bottom w:val="none" w:sz="0" w:space="0" w:color="auto"/>
        <w:right w:val="none" w:sz="0" w:space="0" w:color="auto"/>
      </w:divBdr>
    </w:div>
    <w:div w:id="1135952232">
      <w:bodyDiv w:val="1"/>
      <w:marLeft w:val="0"/>
      <w:marRight w:val="0"/>
      <w:marTop w:val="0"/>
      <w:marBottom w:val="0"/>
      <w:divBdr>
        <w:top w:val="none" w:sz="0" w:space="0" w:color="auto"/>
        <w:left w:val="none" w:sz="0" w:space="0" w:color="auto"/>
        <w:bottom w:val="none" w:sz="0" w:space="0" w:color="auto"/>
        <w:right w:val="none" w:sz="0" w:space="0" w:color="auto"/>
      </w:divBdr>
    </w:div>
    <w:div w:id="1138036192">
      <w:bodyDiv w:val="1"/>
      <w:marLeft w:val="0"/>
      <w:marRight w:val="0"/>
      <w:marTop w:val="0"/>
      <w:marBottom w:val="0"/>
      <w:divBdr>
        <w:top w:val="none" w:sz="0" w:space="0" w:color="auto"/>
        <w:left w:val="none" w:sz="0" w:space="0" w:color="auto"/>
        <w:bottom w:val="none" w:sz="0" w:space="0" w:color="auto"/>
        <w:right w:val="none" w:sz="0" w:space="0" w:color="auto"/>
      </w:divBdr>
    </w:div>
    <w:div w:id="1144273557">
      <w:bodyDiv w:val="1"/>
      <w:marLeft w:val="0"/>
      <w:marRight w:val="0"/>
      <w:marTop w:val="0"/>
      <w:marBottom w:val="0"/>
      <w:divBdr>
        <w:top w:val="none" w:sz="0" w:space="0" w:color="auto"/>
        <w:left w:val="none" w:sz="0" w:space="0" w:color="auto"/>
        <w:bottom w:val="none" w:sz="0" w:space="0" w:color="auto"/>
        <w:right w:val="none" w:sz="0" w:space="0" w:color="auto"/>
      </w:divBdr>
    </w:div>
    <w:div w:id="1152405186">
      <w:bodyDiv w:val="1"/>
      <w:marLeft w:val="0"/>
      <w:marRight w:val="0"/>
      <w:marTop w:val="0"/>
      <w:marBottom w:val="0"/>
      <w:divBdr>
        <w:top w:val="none" w:sz="0" w:space="0" w:color="auto"/>
        <w:left w:val="none" w:sz="0" w:space="0" w:color="auto"/>
        <w:bottom w:val="none" w:sz="0" w:space="0" w:color="auto"/>
        <w:right w:val="none" w:sz="0" w:space="0" w:color="auto"/>
      </w:divBdr>
    </w:div>
    <w:div w:id="1190532546">
      <w:bodyDiv w:val="1"/>
      <w:marLeft w:val="0"/>
      <w:marRight w:val="0"/>
      <w:marTop w:val="0"/>
      <w:marBottom w:val="0"/>
      <w:divBdr>
        <w:top w:val="none" w:sz="0" w:space="0" w:color="auto"/>
        <w:left w:val="none" w:sz="0" w:space="0" w:color="auto"/>
        <w:bottom w:val="none" w:sz="0" w:space="0" w:color="auto"/>
        <w:right w:val="none" w:sz="0" w:space="0" w:color="auto"/>
      </w:divBdr>
    </w:div>
    <w:div w:id="1195771080">
      <w:bodyDiv w:val="1"/>
      <w:marLeft w:val="0"/>
      <w:marRight w:val="0"/>
      <w:marTop w:val="0"/>
      <w:marBottom w:val="0"/>
      <w:divBdr>
        <w:top w:val="none" w:sz="0" w:space="0" w:color="auto"/>
        <w:left w:val="none" w:sz="0" w:space="0" w:color="auto"/>
        <w:bottom w:val="none" w:sz="0" w:space="0" w:color="auto"/>
        <w:right w:val="none" w:sz="0" w:space="0" w:color="auto"/>
      </w:divBdr>
    </w:div>
    <w:div w:id="1251626275">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278560923">
      <w:bodyDiv w:val="1"/>
      <w:marLeft w:val="0"/>
      <w:marRight w:val="0"/>
      <w:marTop w:val="0"/>
      <w:marBottom w:val="0"/>
      <w:divBdr>
        <w:top w:val="none" w:sz="0" w:space="0" w:color="auto"/>
        <w:left w:val="none" w:sz="0" w:space="0" w:color="auto"/>
        <w:bottom w:val="none" w:sz="0" w:space="0" w:color="auto"/>
        <w:right w:val="none" w:sz="0" w:space="0" w:color="auto"/>
      </w:divBdr>
    </w:div>
    <w:div w:id="1342078950">
      <w:bodyDiv w:val="1"/>
      <w:marLeft w:val="0"/>
      <w:marRight w:val="0"/>
      <w:marTop w:val="0"/>
      <w:marBottom w:val="0"/>
      <w:divBdr>
        <w:top w:val="none" w:sz="0" w:space="0" w:color="auto"/>
        <w:left w:val="none" w:sz="0" w:space="0" w:color="auto"/>
        <w:bottom w:val="none" w:sz="0" w:space="0" w:color="auto"/>
        <w:right w:val="none" w:sz="0" w:space="0" w:color="auto"/>
      </w:divBdr>
    </w:div>
    <w:div w:id="1356495510">
      <w:bodyDiv w:val="1"/>
      <w:marLeft w:val="0"/>
      <w:marRight w:val="0"/>
      <w:marTop w:val="0"/>
      <w:marBottom w:val="0"/>
      <w:divBdr>
        <w:top w:val="none" w:sz="0" w:space="0" w:color="auto"/>
        <w:left w:val="none" w:sz="0" w:space="0" w:color="auto"/>
        <w:bottom w:val="none" w:sz="0" w:space="0" w:color="auto"/>
        <w:right w:val="none" w:sz="0" w:space="0" w:color="auto"/>
      </w:divBdr>
    </w:div>
    <w:div w:id="1371805630">
      <w:bodyDiv w:val="1"/>
      <w:marLeft w:val="0"/>
      <w:marRight w:val="0"/>
      <w:marTop w:val="0"/>
      <w:marBottom w:val="0"/>
      <w:divBdr>
        <w:top w:val="none" w:sz="0" w:space="0" w:color="auto"/>
        <w:left w:val="none" w:sz="0" w:space="0" w:color="auto"/>
        <w:bottom w:val="none" w:sz="0" w:space="0" w:color="auto"/>
        <w:right w:val="none" w:sz="0" w:space="0" w:color="auto"/>
      </w:divBdr>
    </w:div>
    <w:div w:id="1452818594">
      <w:bodyDiv w:val="1"/>
      <w:marLeft w:val="0"/>
      <w:marRight w:val="0"/>
      <w:marTop w:val="0"/>
      <w:marBottom w:val="0"/>
      <w:divBdr>
        <w:top w:val="none" w:sz="0" w:space="0" w:color="auto"/>
        <w:left w:val="none" w:sz="0" w:space="0" w:color="auto"/>
        <w:bottom w:val="none" w:sz="0" w:space="0" w:color="auto"/>
        <w:right w:val="none" w:sz="0" w:space="0" w:color="auto"/>
      </w:divBdr>
    </w:div>
    <w:div w:id="1460490435">
      <w:bodyDiv w:val="1"/>
      <w:marLeft w:val="0"/>
      <w:marRight w:val="0"/>
      <w:marTop w:val="0"/>
      <w:marBottom w:val="0"/>
      <w:divBdr>
        <w:top w:val="none" w:sz="0" w:space="0" w:color="auto"/>
        <w:left w:val="none" w:sz="0" w:space="0" w:color="auto"/>
        <w:bottom w:val="none" w:sz="0" w:space="0" w:color="auto"/>
        <w:right w:val="none" w:sz="0" w:space="0" w:color="auto"/>
      </w:divBdr>
    </w:div>
    <w:div w:id="1461925072">
      <w:bodyDiv w:val="1"/>
      <w:marLeft w:val="0"/>
      <w:marRight w:val="0"/>
      <w:marTop w:val="0"/>
      <w:marBottom w:val="0"/>
      <w:divBdr>
        <w:top w:val="none" w:sz="0" w:space="0" w:color="auto"/>
        <w:left w:val="none" w:sz="0" w:space="0" w:color="auto"/>
        <w:bottom w:val="none" w:sz="0" w:space="0" w:color="auto"/>
        <w:right w:val="none" w:sz="0" w:space="0" w:color="auto"/>
      </w:divBdr>
    </w:div>
    <w:div w:id="1467120187">
      <w:bodyDiv w:val="1"/>
      <w:marLeft w:val="0"/>
      <w:marRight w:val="0"/>
      <w:marTop w:val="0"/>
      <w:marBottom w:val="0"/>
      <w:divBdr>
        <w:top w:val="none" w:sz="0" w:space="0" w:color="auto"/>
        <w:left w:val="none" w:sz="0" w:space="0" w:color="auto"/>
        <w:bottom w:val="none" w:sz="0" w:space="0" w:color="auto"/>
        <w:right w:val="none" w:sz="0" w:space="0" w:color="auto"/>
      </w:divBdr>
    </w:div>
    <w:div w:id="1477406707">
      <w:bodyDiv w:val="1"/>
      <w:marLeft w:val="0"/>
      <w:marRight w:val="0"/>
      <w:marTop w:val="0"/>
      <w:marBottom w:val="0"/>
      <w:divBdr>
        <w:top w:val="none" w:sz="0" w:space="0" w:color="auto"/>
        <w:left w:val="none" w:sz="0" w:space="0" w:color="auto"/>
        <w:bottom w:val="none" w:sz="0" w:space="0" w:color="auto"/>
        <w:right w:val="none" w:sz="0" w:space="0" w:color="auto"/>
      </w:divBdr>
    </w:div>
    <w:div w:id="1521041103">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565287972">
      <w:bodyDiv w:val="1"/>
      <w:marLeft w:val="0"/>
      <w:marRight w:val="0"/>
      <w:marTop w:val="0"/>
      <w:marBottom w:val="0"/>
      <w:divBdr>
        <w:top w:val="none" w:sz="0" w:space="0" w:color="auto"/>
        <w:left w:val="none" w:sz="0" w:space="0" w:color="auto"/>
        <w:bottom w:val="none" w:sz="0" w:space="0" w:color="auto"/>
        <w:right w:val="none" w:sz="0" w:space="0" w:color="auto"/>
      </w:divBdr>
    </w:div>
    <w:div w:id="1578712977">
      <w:bodyDiv w:val="1"/>
      <w:marLeft w:val="0"/>
      <w:marRight w:val="0"/>
      <w:marTop w:val="0"/>
      <w:marBottom w:val="0"/>
      <w:divBdr>
        <w:top w:val="none" w:sz="0" w:space="0" w:color="auto"/>
        <w:left w:val="none" w:sz="0" w:space="0" w:color="auto"/>
        <w:bottom w:val="none" w:sz="0" w:space="0" w:color="auto"/>
        <w:right w:val="none" w:sz="0" w:space="0" w:color="auto"/>
      </w:divBdr>
    </w:div>
    <w:div w:id="1596160424">
      <w:bodyDiv w:val="1"/>
      <w:marLeft w:val="0"/>
      <w:marRight w:val="0"/>
      <w:marTop w:val="0"/>
      <w:marBottom w:val="0"/>
      <w:divBdr>
        <w:top w:val="none" w:sz="0" w:space="0" w:color="auto"/>
        <w:left w:val="none" w:sz="0" w:space="0" w:color="auto"/>
        <w:bottom w:val="none" w:sz="0" w:space="0" w:color="auto"/>
        <w:right w:val="none" w:sz="0" w:space="0" w:color="auto"/>
      </w:divBdr>
    </w:div>
    <w:div w:id="1602058167">
      <w:bodyDiv w:val="1"/>
      <w:marLeft w:val="0"/>
      <w:marRight w:val="0"/>
      <w:marTop w:val="0"/>
      <w:marBottom w:val="0"/>
      <w:divBdr>
        <w:top w:val="none" w:sz="0" w:space="0" w:color="auto"/>
        <w:left w:val="none" w:sz="0" w:space="0" w:color="auto"/>
        <w:bottom w:val="none" w:sz="0" w:space="0" w:color="auto"/>
        <w:right w:val="none" w:sz="0" w:space="0" w:color="auto"/>
      </w:divBdr>
    </w:div>
    <w:div w:id="1626352102">
      <w:bodyDiv w:val="1"/>
      <w:marLeft w:val="0"/>
      <w:marRight w:val="0"/>
      <w:marTop w:val="0"/>
      <w:marBottom w:val="0"/>
      <w:divBdr>
        <w:top w:val="none" w:sz="0" w:space="0" w:color="auto"/>
        <w:left w:val="none" w:sz="0" w:space="0" w:color="auto"/>
        <w:bottom w:val="none" w:sz="0" w:space="0" w:color="auto"/>
        <w:right w:val="none" w:sz="0" w:space="0" w:color="auto"/>
      </w:divBdr>
    </w:div>
    <w:div w:id="1644310790">
      <w:bodyDiv w:val="1"/>
      <w:marLeft w:val="0"/>
      <w:marRight w:val="0"/>
      <w:marTop w:val="0"/>
      <w:marBottom w:val="0"/>
      <w:divBdr>
        <w:top w:val="none" w:sz="0" w:space="0" w:color="auto"/>
        <w:left w:val="none" w:sz="0" w:space="0" w:color="auto"/>
        <w:bottom w:val="none" w:sz="0" w:space="0" w:color="auto"/>
        <w:right w:val="none" w:sz="0" w:space="0" w:color="auto"/>
      </w:divBdr>
    </w:div>
    <w:div w:id="1658606533">
      <w:bodyDiv w:val="1"/>
      <w:marLeft w:val="0"/>
      <w:marRight w:val="0"/>
      <w:marTop w:val="0"/>
      <w:marBottom w:val="0"/>
      <w:divBdr>
        <w:top w:val="none" w:sz="0" w:space="0" w:color="auto"/>
        <w:left w:val="none" w:sz="0" w:space="0" w:color="auto"/>
        <w:bottom w:val="none" w:sz="0" w:space="0" w:color="auto"/>
        <w:right w:val="none" w:sz="0" w:space="0" w:color="auto"/>
      </w:divBdr>
    </w:div>
    <w:div w:id="1701465501">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720397666">
      <w:bodyDiv w:val="1"/>
      <w:marLeft w:val="0"/>
      <w:marRight w:val="0"/>
      <w:marTop w:val="0"/>
      <w:marBottom w:val="0"/>
      <w:divBdr>
        <w:top w:val="none" w:sz="0" w:space="0" w:color="auto"/>
        <w:left w:val="none" w:sz="0" w:space="0" w:color="auto"/>
        <w:bottom w:val="none" w:sz="0" w:space="0" w:color="auto"/>
        <w:right w:val="none" w:sz="0" w:space="0" w:color="auto"/>
      </w:divBdr>
    </w:div>
    <w:div w:id="1739594017">
      <w:bodyDiv w:val="1"/>
      <w:marLeft w:val="0"/>
      <w:marRight w:val="0"/>
      <w:marTop w:val="0"/>
      <w:marBottom w:val="0"/>
      <w:divBdr>
        <w:top w:val="none" w:sz="0" w:space="0" w:color="auto"/>
        <w:left w:val="none" w:sz="0" w:space="0" w:color="auto"/>
        <w:bottom w:val="none" w:sz="0" w:space="0" w:color="auto"/>
        <w:right w:val="none" w:sz="0" w:space="0" w:color="auto"/>
      </w:divBdr>
    </w:div>
    <w:div w:id="1746108338">
      <w:bodyDiv w:val="1"/>
      <w:marLeft w:val="0"/>
      <w:marRight w:val="0"/>
      <w:marTop w:val="0"/>
      <w:marBottom w:val="0"/>
      <w:divBdr>
        <w:top w:val="none" w:sz="0" w:space="0" w:color="auto"/>
        <w:left w:val="none" w:sz="0" w:space="0" w:color="auto"/>
        <w:bottom w:val="none" w:sz="0" w:space="0" w:color="auto"/>
        <w:right w:val="none" w:sz="0" w:space="0" w:color="auto"/>
      </w:divBdr>
    </w:div>
    <w:div w:id="1749425960">
      <w:bodyDiv w:val="1"/>
      <w:marLeft w:val="0"/>
      <w:marRight w:val="0"/>
      <w:marTop w:val="0"/>
      <w:marBottom w:val="0"/>
      <w:divBdr>
        <w:top w:val="none" w:sz="0" w:space="0" w:color="auto"/>
        <w:left w:val="none" w:sz="0" w:space="0" w:color="auto"/>
        <w:bottom w:val="none" w:sz="0" w:space="0" w:color="auto"/>
        <w:right w:val="none" w:sz="0" w:space="0" w:color="auto"/>
      </w:divBdr>
    </w:div>
    <w:div w:id="1762025528">
      <w:bodyDiv w:val="1"/>
      <w:marLeft w:val="0"/>
      <w:marRight w:val="0"/>
      <w:marTop w:val="0"/>
      <w:marBottom w:val="0"/>
      <w:divBdr>
        <w:top w:val="none" w:sz="0" w:space="0" w:color="auto"/>
        <w:left w:val="none" w:sz="0" w:space="0" w:color="auto"/>
        <w:bottom w:val="none" w:sz="0" w:space="0" w:color="auto"/>
        <w:right w:val="none" w:sz="0" w:space="0" w:color="auto"/>
      </w:divBdr>
    </w:div>
    <w:div w:id="1777943356">
      <w:bodyDiv w:val="1"/>
      <w:marLeft w:val="0"/>
      <w:marRight w:val="0"/>
      <w:marTop w:val="0"/>
      <w:marBottom w:val="0"/>
      <w:divBdr>
        <w:top w:val="none" w:sz="0" w:space="0" w:color="auto"/>
        <w:left w:val="none" w:sz="0" w:space="0" w:color="auto"/>
        <w:bottom w:val="none" w:sz="0" w:space="0" w:color="auto"/>
        <w:right w:val="none" w:sz="0" w:space="0" w:color="auto"/>
      </w:divBdr>
    </w:div>
    <w:div w:id="1792701694">
      <w:bodyDiv w:val="1"/>
      <w:marLeft w:val="0"/>
      <w:marRight w:val="0"/>
      <w:marTop w:val="0"/>
      <w:marBottom w:val="0"/>
      <w:divBdr>
        <w:top w:val="none" w:sz="0" w:space="0" w:color="auto"/>
        <w:left w:val="none" w:sz="0" w:space="0" w:color="auto"/>
        <w:bottom w:val="none" w:sz="0" w:space="0" w:color="auto"/>
        <w:right w:val="none" w:sz="0" w:space="0" w:color="auto"/>
      </w:divBdr>
    </w:div>
    <w:div w:id="1798833968">
      <w:bodyDiv w:val="1"/>
      <w:marLeft w:val="0"/>
      <w:marRight w:val="0"/>
      <w:marTop w:val="0"/>
      <w:marBottom w:val="0"/>
      <w:divBdr>
        <w:top w:val="none" w:sz="0" w:space="0" w:color="auto"/>
        <w:left w:val="none" w:sz="0" w:space="0" w:color="auto"/>
        <w:bottom w:val="none" w:sz="0" w:space="0" w:color="auto"/>
        <w:right w:val="none" w:sz="0" w:space="0" w:color="auto"/>
      </w:divBdr>
    </w:div>
    <w:div w:id="1810315950">
      <w:bodyDiv w:val="1"/>
      <w:marLeft w:val="0"/>
      <w:marRight w:val="0"/>
      <w:marTop w:val="0"/>
      <w:marBottom w:val="0"/>
      <w:divBdr>
        <w:top w:val="none" w:sz="0" w:space="0" w:color="auto"/>
        <w:left w:val="none" w:sz="0" w:space="0" w:color="auto"/>
        <w:bottom w:val="none" w:sz="0" w:space="0" w:color="auto"/>
        <w:right w:val="none" w:sz="0" w:space="0" w:color="auto"/>
      </w:divBdr>
    </w:div>
    <w:div w:id="1815559841">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16409276">
      <w:bodyDiv w:val="1"/>
      <w:marLeft w:val="0"/>
      <w:marRight w:val="0"/>
      <w:marTop w:val="0"/>
      <w:marBottom w:val="0"/>
      <w:divBdr>
        <w:top w:val="none" w:sz="0" w:space="0" w:color="auto"/>
        <w:left w:val="none" w:sz="0" w:space="0" w:color="auto"/>
        <w:bottom w:val="none" w:sz="0" w:space="0" w:color="auto"/>
        <w:right w:val="none" w:sz="0" w:space="0" w:color="auto"/>
      </w:divBdr>
    </w:div>
    <w:div w:id="1828015422">
      <w:bodyDiv w:val="1"/>
      <w:marLeft w:val="0"/>
      <w:marRight w:val="0"/>
      <w:marTop w:val="0"/>
      <w:marBottom w:val="0"/>
      <w:divBdr>
        <w:top w:val="none" w:sz="0" w:space="0" w:color="auto"/>
        <w:left w:val="none" w:sz="0" w:space="0" w:color="auto"/>
        <w:bottom w:val="none" w:sz="0" w:space="0" w:color="auto"/>
        <w:right w:val="none" w:sz="0" w:space="0" w:color="auto"/>
      </w:divBdr>
    </w:div>
    <w:div w:id="1839231139">
      <w:bodyDiv w:val="1"/>
      <w:marLeft w:val="0"/>
      <w:marRight w:val="0"/>
      <w:marTop w:val="0"/>
      <w:marBottom w:val="0"/>
      <w:divBdr>
        <w:top w:val="none" w:sz="0" w:space="0" w:color="auto"/>
        <w:left w:val="none" w:sz="0" w:space="0" w:color="auto"/>
        <w:bottom w:val="none" w:sz="0" w:space="0" w:color="auto"/>
        <w:right w:val="none" w:sz="0" w:space="0" w:color="auto"/>
      </w:divBdr>
    </w:div>
    <w:div w:id="1843429199">
      <w:bodyDiv w:val="1"/>
      <w:marLeft w:val="0"/>
      <w:marRight w:val="0"/>
      <w:marTop w:val="0"/>
      <w:marBottom w:val="0"/>
      <w:divBdr>
        <w:top w:val="none" w:sz="0" w:space="0" w:color="auto"/>
        <w:left w:val="none" w:sz="0" w:space="0" w:color="auto"/>
        <w:bottom w:val="none" w:sz="0" w:space="0" w:color="auto"/>
        <w:right w:val="none" w:sz="0" w:space="0" w:color="auto"/>
      </w:divBdr>
    </w:div>
    <w:div w:id="1854608175">
      <w:bodyDiv w:val="1"/>
      <w:marLeft w:val="0"/>
      <w:marRight w:val="0"/>
      <w:marTop w:val="0"/>
      <w:marBottom w:val="0"/>
      <w:divBdr>
        <w:top w:val="none" w:sz="0" w:space="0" w:color="auto"/>
        <w:left w:val="none" w:sz="0" w:space="0" w:color="auto"/>
        <w:bottom w:val="none" w:sz="0" w:space="0" w:color="auto"/>
        <w:right w:val="none" w:sz="0" w:space="0" w:color="auto"/>
      </w:divBdr>
    </w:div>
    <w:div w:id="1878345430">
      <w:bodyDiv w:val="1"/>
      <w:marLeft w:val="0"/>
      <w:marRight w:val="0"/>
      <w:marTop w:val="0"/>
      <w:marBottom w:val="0"/>
      <w:divBdr>
        <w:top w:val="none" w:sz="0" w:space="0" w:color="auto"/>
        <w:left w:val="none" w:sz="0" w:space="0" w:color="auto"/>
        <w:bottom w:val="none" w:sz="0" w:space="0" w:color="auto"/>
        <w:right w:val="none" w:sz="0" w:space="0" w:color="auto"/>
      </w:divBdr>
    </w:div>
    <w:div w:id="1888486426">
      <w:bodyDiv w:val="1"/>
      <w:marLeft w:val="0"/>
      <w:marRight w:val="0"/>
      <w:marTop w:val="0"/>
      <w:marBottom w:val="0"/>
      <w:divBdr>
        <w:top w:val="none" w:sz="0" w:space="0" w:color="auto"/>
        <w:left w:val="none" w:sz="0" w:space="0" w:color="auto"/>
        <w:bottom w:val="none" w:sz="0" w:space="0" w:color="auto"/>
        <w:right w:val="none" w:sz="0" w:space="0" w:color="auto"/>
      </w:divBdr>
    </w:div>
    <w:div w:id="1934243663">
      <w:bodyDiv w:val="1"/>
      <w:marLeft w:val="0"/>
      <w:marRight w:val="0"/>
      <w:marTop w:val="0"/>
      <w:marBottom w:val="0"/>
      <w:divBdr>
        <w:top w:val="none" w:sz="0" w:space="0" w:color="auto"/>
        <w:left w:val="none" w:sz="0" w:space="0" w:color="auto"/>
        <w:bottom w:val="none" w:sz="0" w:space="0" w:color="auto"/>
        <w:right w:val="none" w:sz="0" w:space="0" w:color="auto"/>
      </w:divBdr>
    </w:div>
    <w:div w:id="1945378780">
      <w:bodyDiv w:val="1"/>
      <w:marLeft w:val="0"/>
      <w:marRight w:val="0"/>
      <w:marTop w:val="0"/>
      <w:marBottom w:val="0"/>
      <w:divBdr>
        <w:top w:val="none" w:sz="0" w:space="0" w:color="auto"/>
        <w:left w:val="none" w:sz="0" w:space="0" w:color="auto"/>
        <w:bottom w:val="none" w:sz="0" w:space="0" w:color="auto"/>
        <w:right w:val="none" w:sz="0" w:space="0" w:color="auto"/>
      </w:divBdr>
    </w:div>
    <w:div w:id="1950314930">
      <w:bodyDiv w:val="1"/>
      <w:marLeft w:val="0"/>
      <w:marRight w:val="0"/>
      <w:marTop w:val="0"/>
      <w:marBottom w:val="0"/>
      <w:divBdr>
        <w:top w:val="none" w:sz="0" w:space="0" w:color="auto"/>
        <w:left w:val="none" w:sz="0" w:space="0" w:color="auto"/>
        <w:bottom w:val="none" w:sz="0" w:space="0" w:color="auto"/>
        <w:right w:val="none" w:sz="0" w:space="0" w:color="auto"/>
      </w:divBdr>
    </w:div>
    <w:div w:id="1965764940">
      <w:bodyDiv w:val="1"/>
      <w:marLeft w:val="0"/>
      <w:marRight w:val="0"/>
      <w:marTop w:val="0"/>
      <w:marBottom w:val="0"/>
      <w:divBdr>
        <w:top w:val="none" w:sz="0" w:space="0" w:color="auto"/>
        <w:left w:val="none" w:sz="0" w:space="0" w:color="auto"/>
        <w:bottom w:val="none" w:sz="0" w:space="0" w:color="auto"/>
        <w:right w:val="none" w:sz="0" w:space="0" w:color="auto"/>
      </w:divBdr>
    </w:div>
    <w:div w:id="1977180243">
      <w:bodyDiv w:val="1"/>
      <w:marLeft w:val="0"/>
      <w:marRight w:val="0"/>
      <w:marTop w:val="0"/>
      <w:marBottom w:val="0"/>
      <w:divBdr>
        <w:top w:val="none" w:sz="0" w:space="0" w:color="auto"/>
        <w:left w:val="none" w:sz="0" w:space="0" w:color="auto"/>
        <w:bottom w:val="none" w:sz="0" w:space="0" w:color="auto"/>
        <w:right w:val="none" w:sz="0" w:space="0" w:color="auto"/>
      </w:divBdr>
    </w:div>
    <w:div w:id="1987468654">
      <w:bodyDiv w:val="1"/>
      <w:marLeft w:val="0"/>
      <w:marRight w:val="0"/>
      <w:marTop w:val="0"/>
      <w:marBottom w:val="0"/>
      <w:divBdr>
        <w:top w:val="none" w:sz="0" w:space="0" w:color="auto"/>
        <w:left w:val="none" w:sz="0" w:space="0" w:color="auto"/>
        <w:bottom w:val="none" w:sz="0" w:space="0" w:color="auto"/>
        <w:right w:val="none" w:sz="0" w:space="0" w:color="auto"/>
      </w:divBdr>
    </w:div>
    <w:div w:id="1991901845">
      <w:bodyDiv w:val="1"/>
      <w:marLeft w:val="0"/>
      <w:marRight w:val="0"/>
      <w:marTop w:val="0"/>
      <w:marBottom w:val="0"/>
      <w:divBdr>
        <w:top w:val="none" w:sz="0" w:space="0" w:color="auto"/>
        <w:left w:val="none" w:sz="0" w:space="0" w:color="auto"/>
        <w:bottom w:val="none" w:sz="0" w:space="0" w:color="auto"/>
        <w:right w:val="none" w:sz="0" w:space="0" w:color="auto"/>
      </w:divBdr>
    </w:div>
    <w:div w:id="2038852891">
      <w:bodyDiv w:val="1"/>
      <w:marLeft w:val="0"/>
      <w:marRight w:val="0"/>
      <w:marTop w:val="0"/>
      <w:marBottom w:val="0"/>
      <w:divBdr>
        <w:top w:val="none" w:sz="0" w:space="0" w:color="auto"/>
        <w:left w:val="none" w:sz="0" w:space="0" w:color="auto"/>
        <w:bottom w:val="none" w:sz="0" w:space="0" w:color="auto"/>
        <w:right w:val="none" w:sz="0" w:space="0" w:color="auto"/>
      </w:divBdr>
    </w:div>
    <w:div w:id="2043744976">
      <w:bodyDiv w:val="1"/>
      <w:marLeft w:val="0"/>
      <w:marRight w:val="0"/>
      <w:marTop w:val="0"/>
      <w:marBottom w:val="0"/>
      <w:divBdr>
        <w:top w:val="none" w:sz="0" w:space="0" w:color="auto"/>
        <w:left w:val="none" w:sz="0" w:space="0" w:color="auto"/>
        <w:bottom w:val="none" w:sz="0" w:space="0" w:color="auto"/>
        <w:right w:val="none" w:sz="0" w:space="0" w:color="auto"/>
      </w:divBdr>
    </w:div>
    <w:div w:id="2070565701">
      <w:bodyDiv w:val="1"/>
      <w:marLeft w:val="0"/>
      <w:marRight w:val="0"/>
      <w:marTop w:val="0"/>
      <w:marBottom w:val="0"/>
      <w:divBdr>
        <w:top w:val="none" w:sz="0" w:space="0" w:color="auto"/>
        <w:left w:val="none" w:sz="0" w:space="0" w:color="auto"/>
        <w:bottom w:val="none" w:sz="0" w:space="0" w:color="auto"/>
        <w:right w:val="none" w:sz="0" w:space="0" w:color="auto"/>
      </w:divBdr>
    </w:div>
    <w:div w:id="212318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emf"/><Relationship Id="rId26" Type="http://schemas.openxmlformats.org/officeDocument/2006/relationships/hyperlink" Target="https://gino.istat.it/statocivile/" TargetMode="External"/><Relationship Id="rId39" Type="http://schemas.openxmlformats.org/officeDocument/2006/relationships/hyperlink" Target="http://demo.istat.it/altridati/separazionidivorzi/" TargetMode="External"/><Relationship Id="rId21" Type="http://schemas.openxmlformats.org/officeDocument/2006/relationships/chart" Target="charts/chart7.xml"/><Relationship Id="rId34" Type="http://schemas.openxmlformats.org/officeDocument/2006/relationships/hyperlink" Target="https://gino.istat.it/giustizia/"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6.xml"/><Relationship Id="rId29" Type="http://schemas.openxmlformats.org/officeDocument/2006/relationships/hyperlink" Target="http://demo.istat.it/altridati/matrimon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hyperlink" Target="https://www.istat.it/it/archivio/6747" TargetMode="External"/><Relationship Id="rId37" Type="http://schemas.openxmlformats.org/officeDocument/2006/relationships/hyperlink" Target="https://www.istat.it/it/archivio/6747"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2.xml"/><Relationship Id="rId28" Type="http://schemas.openxmlformats.org/officeDocument/2006/relationships/hyperlink" Target="https://www.istat.it/it/archivio/6747" TargetMode="External"/><Relationship Id="rId36" Type="http://schemas.openxmlformats.org/officeDocument/2006/relationships/hyperlink" Target="https://www.istat.it/it/archivio/6789" TargetMode="Externa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s://www.istat.it/it/archivio/6789"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hyperlink" Target="https://www.istat.it/it/archivio/6789" TargetMode="External"/><Relationship Id="rId30" Type="http://schemas.openxmlformats.org/officeDocument/2006/relationships/hyperlink" Target="https://gino.istat.it/statocivile/" TargetMode="External"/><Relationship Id="rId35" Type="http://schemas.openxmlformats.org/officeDocument/2006/relationships/hyperlink" Target="https://gino.istat.it/statocivile/"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hyperlink" Target="http://demo.istat.it/" TargetMode="External"/><Relationship Id="rId38" Type="http://schemas.openxmlformats.org/officeDocument/2006/relationships/hyperlink" Target="http://dati.istat.it/%20"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mailto:cicastag@istat.it" TargetMode="External"/><Relationship Id="rId1" Type="http://schemas.openxmlformats.org/officeDocument/2006/relationships/hyperlink" Target="mailto:guarneri@istat.i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ufficiostampa@istat.it" TargetMode="External"/><Relationship Id="rId2" Type="http://schemas.openxmlformats.org/officeDocument/2006/relationships/hyperlink" Target="https://contact.istat.it/" TargetMode="External"/><Relationship Id="rId1" Type="http://schemas.openxmlformats.org/officeDocument/2006/relationships/hyperlink" Target="mailto:ufficiostampa@istat.it" TargetMode="External"/><Relationship Id="rId5" Type="http://schemas.openxmlformats.org/officeDocument/2006/relationships/image" Target="media/image2.jpg"/><Relationship Id="rId4" Type="http://schemas.openxmlformats.org/officeDocument/2006/relationships/hyperlink" Target="https://contact.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emf"/></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stat%20repor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stat%20repor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stat%20repor2022_31%20genna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stat%20repor2022_31%20genna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unio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stat%20repor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stat%20repor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c.istat.it\xendesktop\balbo\guarneri\My%20Documents\Stat%20report%20matr%20uc%20sep%20div%20febb2022\Tavole%20e%20grafici_stat%20repor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31746031746035E-2"/>
          <c:y val="0.13945138888888889"/>
          <c:w val="0.95244365079365079"/>
          <c:h val="0.48184907407407407"/>
        </c:manualLayout>
      </c:layout>
      <c:barChart>
        <c:barDir val="col"/>
        <c:grouping val="clustered"/>
        <c:varyColors val="0"/>
        <c:ser>
          <c:idx val="2"/>
          <c:order val="0"/>
          <c:tx>
            <c:v>Matrimoni successivi al primo %</c:v>
          </c:tx>
          <c:spPr>
            <a:solidFill>
              <a:srgbClr val="1F497D"/>
            </a:solidFill>
            <a:ln>
              <a:noFill/>
            </a:ln>
          </c:spPr>
          <c:invertIfNegative val="0"/>
          <c:cat>
            <c:strRef>
              <c:f>('Fig. 3 Matr. succ. e alm stra'!$A$4:$A$7,'Fig. 3 Matr. succ. e alm stra'!$A$9:$A$25)</c:f>
              <c:strCache>
                <c:ptCount val="21"/>
                <c:pt idx="0">
                  <c:v>Piemonte</c:v>
                </c:pt>
                <c:pt idx="1">
                  <c:v>Valle d'Aosta-Vallée d'Aoste</c:v>
                </c:pt>
                <c:pt idx="2">
                  <c:v>Liguria</c:v>
                </c:pt>
                <c:pt idx="3">
                  <c:v>Lombardia</c:v>
                </c:pt>
                <c:pt idx="4">
                  <c:v>Bolzano/Bozen</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('Fig. 3 Matr. succ. e alm stra'!$K$4:$K$7,'Fig. 3 Matr. succ. e alm stra'!$K$9:$K$25)</c:f>
              <c:numCache>
                <c:formatCode>#,##0.0</c:formatCode>
                <c:ptCount val="21"/>
                <c:pt idx="0">
                  <c:v>37.103370469609366</c:v>
                </c:pt>
                <c:pt idx="1">
                  <c:v>40.833333333333336</c:v>
                </c:pt>
                <c:pt idx="2">
                  <c:v>40.565012676566461</c:v>
                </c:pt>
                <c:pt idx="3">
                  <c:v>33.648033688786256</c:v>
                </c:pt>
                <c:pt idx="4">
                  <c:v>21.17437722419929</c:v>
                </c:pt>
                <c:pt idx="5">
                  <c:v>32.150776053215083</c:v>
                </c:pt>
                <c:pt idx="6">
                  <c:v>30.443694236797686</c:v>
                </c:pt>
                <c:pt idx="7">
                  <c:v>37.260677466863036</c:v>
                </c:pt>
                <c:pt idx="8">
                  <c:v>33.990147783251231</c:v>
                </c:pt>
                <c:pt idx="9">
                  <c:v>31.625381744146591</c:v>
                </c:pt>
                <c:pt idx="10">
                  <c:v>32.613908872901682</c:v>
                </c:pt>
                <c:pt idx="11">
                  <c:v>29.760081674323636</c:v>
                </c:pt>
                <c:pt idx="12">
                  <c:v>32.569631626235399</c:v>
                </c:pt>
                <c:pt idx="13">
                  <c:v>28.036845135290733</c:v>
                </c:pt>
                <c:pt idx="14">
                  <c:v>24.128686327077748</c:v>
                </c:pt>
                <c:pt idx="15">
                  <c:v>15.294233807266982</c:v>
                </c:pt>
                <c:pt idx="16">
                  <c:v>20.184444057769273</c:v>
                </c:pt>
                <c:pt idx="17">
                  <c:v>18.685121107266436</c:v>
                </c:pt>
                <c:pt idx="18">
                  <c:v>15.912117177097205</c:v>
                </c:pt>
                <c:pt idx="19">
                  <c:v>15.971863039205545</c:v>
                </c:pt>
                <c:pt idx="20">
                  <c:v>27.187765505522517</c:v>
                </c:pt>
              </c:numCache>
            </c:numRef>
          </c:val>
          <c:extLst xmlns:c16r2="http://schemas.microsoft.com/office/drawing/2015/06/chart">
            <c:ext xmlns:c16="http://schemas.microsoft.com/office/drawing/2014/chart" uri="{C3380CC4-5D6E-409C-BE32-E72D297353CC}">
              <c16:uniqueId val="{00000001-E1AE-4032-809A-A327613F1E4B}"/>
            </c:ext>
          </c:extLst>
        </c:ser>
        <c:ser>
          <c:idx val="1"/>
          <c:order val="1"/>
          <c:tx>
            <c:v>Matrimoni con almeno uno straniero %</c:v>
          </c:tx>
          <c:spPr>
            <a:solidFill>
              <a:srgbClr val="E42618"/>
            </a:solidFill>
            <a:ln>
              <a:noFill/>
            </a:ln>
          </c:spPr>
          <c:invertIfNegative val="0"/>
          <c:cat>
            <c:strRef>
              <c:f>('Fig. 3 Matr. succ. e alm stra'!$A$4:$A$7,'Fig. 3 Matr. succ. e alm stra'!$A$9:$A$25)</c:f>
              <c:strCache>
                <c:ptCount val="21"/>
                <c:pt idx="0">
                  <c:v>Piemonte</c:v>
                </c:pt>
                <c:pt idx="1">
                  <c:v>Valle d'Aosta-Vallée d'Aoste</c:v>
                </c:pt>
                <c:pt idx="2">
                  <c:v>Liguria</c:v>
                </c:pt>
                <c:pt idx="3">
                  <c:v>Lombardia</c:v>
                </c:pt>
                <c:pt idx="4">
                  <c:v>Bolzano/Bozen</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('Fig. 3 Matr. succ. e alm stra'!$R$4:$R$7,'Fig. 3 Matr. succ. e alm stra'!$R$9:$R$25)</c:f>
              <c:numCache>
                <c:formatCode>#,##0.0</c:formatCode>
                <c:ptCount val="21"/>
                <c:pt idx="0">
                  <c:v>22.324072768297842</c:v>
                </c:pt>
                <c:pt idx="1">
                  <c:v>22.5</c:v>
                </c:pt>
                <c:pt idx="2">
                  <c:v>21.550162984425931</c:v>
                </c:pt>
                <c:pt idx="3">
                  <c:v>25.198668749575493</c:v>
                </c:pt>
                <c:pt idx="4">
                  <c:v>23.428232502965599</c:v>
                </c:pt>
                <c:pt idx="5">
                  <c:v>23.059866962305986</c:v>
                </c:pt>
                <c:pt idx="6">
                  <c:v>22.618760549795034</c:v>
                </c:pt>
                <c:pt idx="7">
                  <c:v>22.876779577810506</c:v>
                </c:pt>
                <c:pt idx="8">
                  <c:v>25.136466515776863</c:v>
                </c:pt>
                <c:pt idx="9">
                  <c:v>24.397692568713946</c:v>
                </c:pt>
                <c:pt idx="10">
                  <c:v>25.819344524380494</c:v>
                </c:pt>
                <c:pt idx="11">
                  <c:v>24.757529351710055</c:v>
                </c:pt>
                <c:pt idx="12">
                  <c:v>22.574123989218329</c:v>
                </c:pt>
                <c:pt idx="13">
                  <c:v>20.667818077144499</c:v>
                </c:pt>
                <c:pt idx="14">
                  <c:v>19.839142091152816</c:v>
                </c:pt>
                <c:pt idx="15">
                  <c:v>10.781990521327014</c:v>
                </c:pt>
                <c:pt idx="16">
                  <c:v>11.240647294240473</c:v>
                </c:pt>
                <c:pt idx="17">
                  <c:v>17.301038062283737</c:v>
                </c:pt>
                <c:pt idx="18">
                  <c:v>12.050599201065246</c:v>
                </c:pt>
                <c:pt idx="19">
                  <c:v>9.1031343746767348</c:v>
                </c:pt>
                <c:pt idx="20">
                  <c:v>12.234494477485132</c:v>
                </c:pt>
              </c:numCache>
            </c:numRef>
          </c:val>
          <c:extLst xmlns:c16r2="http://schemas.microsoft.com/office/drawing/2015/06/chart">
            <c:ext xmlns:c16="http://schemas.microsoft.com/office/drawing/2014/chart" uri="{C3380CC4-5D6E-409C-BE32-E72D297353CC}">
              <c16:uniqueId val="{00000002-E1AE-4032-809A-A327613F1E4B}"/>
            </c:ext>
          </c:extLst>
        </c:ser>
        <c:dLbls>
          <c:showLegendKey val="0"/>
          <c:showVal val="0"/>
          <c:showCatName val="0"/>
          <c:showSerName val="0"/>
          <c:showPercent val="0"/>
          <c:showBubbleSize val="0"/>
        </c:dLbls>
        <c:gapWidth val="40"/>
        <c:axId val="115648992"/>
        <c:axId val="115649552"/>
      </c:barChart>
      <c:catAx>
        <c:axId val="115648992"/>
        <c:scaling>
          <c:orientation val="minMax"/>
        </c:scaling>
        <c:delete val="0"/>
        <c:axPos val="b"/>
        <c:majorGridlines>
          <c:spPr>
            <a:ln>
              <a:solidFill>
                <a:schemeClr val="bg1"/>
              </a:solidFill>
            </a:ln>
          </c:spPr>
        </c:majorGridlines>
        <c:numFmt formatCode="General" sourceLinked="1"/>
        <c:majorTickMark val="none"/>
        <c:minorTickMark val="none"/>
        <c:tickLblPos val="low"/>
        <c:spPr>
          <a:ln w="12700">
            <a:solidFill>
              <a:schemeClr val="bg1"/>
            </a:solidFill>
            <a:prstDash val="solid"/>
          </a:ln>
        </c:spPr>
        <c:txPr>
          <a:bodyPr rot="-5400000" vert="horz"/>
          <a:lstStyle/>
          <a:p>
            <a:pPr>
              <a:defRPr b="1"/>
            </a:pPr>
            <a:endParaRPr lang="it-IT"/>
          </a:p>
        </c:txPr>
        <c:crossAx val="115649552"/>
        <c:crosses val="autoZero"/>
        <c:auto val="1"/>
        <c:lblAlgn val="ctr"/>
        <c:lblOffset val="0"/>
        <c:tickLblSkip val="1"/>
        <c:tickMarkSkip val="1"/>
        <c:noMultiLvlLbl val="0"/>
      </c:catAx>
      <c:valAx>
        <c:axId val="115649552"/>
        <c:scaling>
          <c:orientation val="minMax"/>
          <c:max val="35"/>
          <c:min val="0"/>
        </c:scaling>
        <c:delete val="0"/>
        <c:axPos val="l"/>
        <c:majorGridlines>
          <c:spPr>
            <a:ln>
              <a:solidFill>
                <a:schemeClr val="bg1"/>
              </a:solidFill>
            </a:ln>
          </c:spPr>
        </c:majorGridlines>
        <c:numFmt formatCode="0" sourceLinked="0"/>
        <c:majorTickMark val="none"/>
        <c:minorTickMark val="none"/>
        <c:tickLblPos val="nextTo"/>
        <c:spPr>
          <a:ln w="12700">
            <a:solidFill>
              <a:schemeClr val="bg1"/>
            </a:solidFill>
            <a:prstDash val="solid"/>
          </a:ln>
        </c:spPr>
        <c:txPr>
          <a:bodyPr rot="0" vert="horz"/>
          <a:lstStyle/>
          <a:p>
            <a:pPr>
              <a:defRPr/>
            </a:pPr>
            <a:endParaRPr lang="it-IT"/>
          </a:p>
        </c:txPr>
        <c:crossAx val="115648992"/>
        <c:crosses val="autoZero"/>
        <c:crossBetween val="between"/>
        <c:majorUnit val="5"/>
      </c:valAx>
      <c:spPr>
        <a:noFill/>
        <a:ln w="25400">
          <a:noFill/>
        </a:ln>
      </c:spPr>
    </c:plotArea>
    <c:legend>
      <c:legendPos val="r"/>
      <c:layout>
        <c:manualLayout>
          <c:xMode val="edge"/>
          <c:yMode val="edge"/>
          <c:x val="0.12482603174603177"/>
          <c:y val="2.2172514088493111E-3"/>
          <c:w val="0.7342426984126984"/>
          <c:h val="9.0163886994440653E-2"/>
        </c:manualLayout>
      </c:layout>
      <c:overlay val="0"/>
      <c:spPr>
        <a:noFill/>
        <a:ln w="25400">
          <a:noFill/>
        </a:ln>
      </c:spPr>
    </c:legend>
    <c:plotVisOnly val="1"/>
    <c:dispBlanksAs val="gap"/>
    <c:showDLblsOverMax val="0"/>
  </c:chart>
  <c:spPr>
    <a:no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627616736192369E-2"/>
          <c:y val="0.13038671559287959"/>
          <c:w val="0.94922412879150986"/>
          <c:h val="0.74143103572552638"/>
        </c:manualLayout>
      </c:layout>
      <c:barChart>
        <c:barDir val="col"/>
        <c:grouping val="clustered"/>
        <c:varyColors val="0"/>
        <c:ser>
          <c:idx val="0"/>
          <c:order val="0"/>
          <c:tx>
            <c:strRef>
              <c:f>'Fig. 4 Primi matr. civ'!$A$21</c:f>
              <c:strCache>
                <c:ptCount val="1"/>
                <c:pt idx="0">
                  <c:v>Nord</c:v>
                </c:pt>
              </c:strCache>
            </c:strRef>
          </c:tx>
          <c:spPr>
            <a:solidFill>
              <a:srgbClr val="1F497D"/>
            </a:solidFill>
            <a:ln w="25400">
              <a:noFill/>
            </a:ln>
          </c:spPr>
          <c:invertIfNegative val="0"/>
          <c:cat>
            <c:numRef>
              <c:f>'Fig. 4 Primi matr. civ'!$B$20:$J$20</c:f>
              <c:numCache>
                <c:formatCode>0</c:formatCode>
                <c:ptCount val="5"/>
                <c:pt idx="0">
                  <c:v>2008</c:v>
                </c:pt>
                <c:pt idx="1">
                  <c:v>2012</c:v>
                </c:pt>
                <c:pt idx="2">
                  <c:v>2015</c:v>
                </c:pt>
                <c:pt idx="3">
                  <c:v>2019</c:v>
                </c:pt>
                <c:pt idx="4">
                  <c:v>2020</c:v>
                </c:pt>
              </c:numCache>
              <c:extLst xmlns:c16r2="http://schemas.microsoft.com/office/drawing/2015/06/chart"/>
            </c:numRef>
          </c:cat>
          <c:val>
            <c:numRef>
              <c:f>'Fig. 4 Primi matr. civ'!$B$21:$J$21</c:f>
              <c:numCache>
                <c:formatCode>0.0</c:formatCode>
                <c:ptCount val="5"/>
                <c:pt idx="0">
                  <c:v>25.875925069380202</c:v>
                </c:pt>
                <c:pt idx="1">
                  <c:v>31.136687192329465</c:v>
                </c:pt>
                <c:pt idx="2">
                  <c:v>37.412308975768838</c:v>
                </c:pt>
                <c:pt idx="3">
                  <c:v>43.503368623676614</c:v>
                </c:pt>
                <c:pt idx="4">
                  <c:v>59.517688823601425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B165-41AE-85A0-5CBC3E9C0A53}"/>
            </c:ext>
          </c:extLst>
        </c:ser>
        <c:ser>
          <c:idx val="1"/>
          <c:order val="1"/>
          <c:tx>
            <c:strRef>
              <c:f>'Fig. 4 Primi matr. civ'!$A$22</c:f>
              <c:strCache>
                <c:ptCount val="1"/>
                <c:pt idx="0">
                  <c:v>Centro</c:v>
                </c:pt>
              </c:strCache>
            </c:strRef>
          </c:tx>
          <c:spPr>
            <a:solidFill>
              <a:srgbClr val="E42618"/>
            </a:solidFill>
            <a:ln w="25400">
              <a:noFill/>
            </a:ln>
          </c:spPr>
          <c:invertIfNegative val="0"/>
          <c:cat>
            <c:numRef>
              <c:f>'Fig. 4 Primi matr. civ'!$B$20:$J$20</c:f>
              <c:numCache>
                <c:formatCode>0</c:formatCode>
                <c:ptCount val="5"/>
                <c:pt idx="0">
                  <c:v>2008</c:v>
                </c:pt>
                <c:pt idx="1">
                  <c:v>2012</c:v>
                </c:pt>
                <c:pt idx="2">
                  <c:v>2015</c:v>
                </c:pt>
                <c:pt idx="3">
                  <c:v>2019</c:v>
                </c:pt>
                <c:pt idx="4">
                  <c:v>2020</c:v>
                </c:pt>
              </c:numCache>
              <c:extLst xmlns:c16r2="http://schemas.microsoft.com/office/drawing/2015/06/chart"/>
            </c:numRef>
          </c:cat>
          <c:val>
            <c:numRef>
              <c:f>'Fig. 4 Primi matr. civ'!$B$22:$J$22</c:f>
              <c:numCache>
                <c:formatCode>0.0</c:formatCode>
                <c:ptCount val="5"/>
                <c:pt idx="0">
                  <c:v>23.724458204334365</c:v>
                </c:pt>
                <c:pt idx="1">
                  <c:v>30.488034671188995</c:v>
                </c:pt>
                <c:pt idx="2">
                  <c:v>34.630649084624245</c:v>
                </c:pt>
                <c:pt idx="3">
                  <c:v>41.083072022298538</c:v>
                </c:pt>
                <c:pt idx="4">
                  <c:v>60.921591266925581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B165-41AE-85A0-5CBC3E9C0A53}"/>
            </c:ext>
          </c:extLst>
        </c:ser>
        <c:ser>
          <c:idx val="2"/>
          <c:order val="2"/>
          <c:tx>
            <c:strRef>
              <c:f>'Fig. 4 Primi matr. civ'!$A$23</c:f>
              <c:strCache>
                <c:ptCount val="1"/>
                <c:pt idx="0">
                  <c:v>Mezzogiorno</c:v>
                </c:pt>
              </c:strCache>
            </c:strRef>
          </c:tx>
          <c:spPr>
            <a:solidFill>
              <a:srgbClr val="9BBB59"/>
            </a:solidFill>
            <a:ln w="25400">
              <a:noFill/>
            </a:ln>
          </c:spPr>
          <c:invertIfNegative val="0"/>
          <c:cat>
            <c:numRef>
              <c:f>'Fig. 4 Primi matr. civ'!$B$20:$J$20</c:f>
              <c:numCache>
                <c:formatCode>0</c:formatCode>
                <c:ptCount val="5"/>
                <c:pt idx="0">
                  <c:v>2008</c:v>
                </c:pt>
                <c:pt idx="1">
                  <c:v>2012</c:v>
                </c:pt>
                <c:pt idx="2">
                  <c:v>2015</c:v>
                </c:pt>
                <c:pt idx="3">
                  <c:v>2019</c:v>
                </c:pt>
                <c:pt idx="4">
                  <c:v>2020</c:v>
                </c:pt>
              </c:numCache>
              <c:extLst xmlns:c16r2="http://schemas.microsoft.com/office/drawing/2015/06/chart"/>
            </c:numRef>
          </c:cat>
          <c:val>
            <c:numRef>
              <c:f>'Fig. 4 Primi matr. civ'!$B$23:$J$23</c:f>
              <c:numCache>
                <c:formatCode>0.0</c:formatCode>
                <c:ptCount val="5"/>
                <c:pt idx="0">
                  <c:v>13.585807299444477</c:v>
                </c:pt>
                <c:pt idx="1">
                  <c:v>16.416327973140131</c:v>
                </c:pt>
                <c:pt idx="2">
                  <c:v>19.241259994700666</c:v>
                </c:pt>
                <c:pt idx="3">
                  <c:v>21.22462574711793</c:v>
                </c:pt>
                <c:pt idx="4">
                  <c:v>46.835604227683689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B165-41AE-85A0-5CBC3E9C0A53}"/>
            </c:ext>
          </c:extLst>
        </c:ser>
        <c:ser>
          <c:idx val="3"/>
          <c:order val="3"/>
          <c:tx>
            <c:strRef>
              <c:f>'Fig. 4 Primi matr. civ'!$A$25</c:f>
              <c:strCache>
                <c:ptCount val="1"/>
                <c:pt idx="0">
                  <c:v>Italia</c:v>
                </c:pt>
              </c:strCache>
            </c:strRef>
          </c:tx>
          <c:spPr>
            <a:solidFill>
              <a:srgbClr val="666699"/>
            </a:solidFill>
          </c:spPr>
          <c:invertIfNegative val="0"/>
          <c:dPt>
            <c:idx val="2"/>
            <c:invertIfNegative val="0"/>
            <c:bubble3D val="0"/>
            <c:spPr>
              <a:solidFill>
                <a:srgbClr val="666699"/>
              </a:solidFill>
              <a:ln>
                <a:noFill/>
              </a:ln>
            </c:spPr>
            <c:extLst xmlns:c16r2="http://schemas.microsoft.com/office/drawing/2015/06/chart">
              <c:ext xmlns:c16="http://schemas.microsoft.com/office/drawing/2014/chart" uri="{C3380CC4-5D6E-409C-BE32-E72D297353CC}">
                <c16:uniqueId val="{00000001-9F5D-465D-8BAF-1E2DC7005017}"/>
              </c:ext>
            </c:extLst>
          </c:dPt>
          <c:cat>
            <c:numRef>
              <c:f>'Fig. 4 Primi matr. civ'!$B$20:$J$20</c:f>
              <c:numCache>
                <c:formatCode>0</c:formatCode>
                <c:ptCount val="5"/>
                <c:pt idx="0">
                  <c:v>2008</c:v>
                </c:pt>
                <c:pt idx="1">
                  <c:v>2012</c:v>
                </c:pt>
                <c:pt idx="2">
                  <c:v>2015</c:v>
                </c:pt>
                <c:pt idx="3">
                  <c:v>2019</c:v>
                </c:pt>
                <c:pt idx="4">
                  <c:v>2020</c:v>
                </c:pt>
              </c:numCache>
              <c:extLst xmlns:c16r2="http://schemas.microsoft.com/office/drawing/2015/06/chart"/>
            </c:numRef>
          </c:cat>
          <c:val>
            <c:numRef>
              <c:f>'Fig. 4 Primi matr. civ'!$B$25:$J$25</c:f>
              <c:numCache>
                <c:formatCode>0.0</c:formatCode>
                <c:ptCount val="5"/>
                <c:pt idx="0">
                  <c:v>20.000646033087659</c:v>
                </c:pt>
                <c:pt idx="1">
                  <c:v>24.51944087508398</c:v>
                </c:pt>
                <c:pt idx="2">
                  <c:v>28.669679142865263</c:v>
                </c:pt>
                <c:pt idx="3">
                  <c:v>33.414568978778874</c:v>
                </c:pt>
                <c:pt idx="4">
                  <c:v>54.649341708975129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B165-41AE-85A0-5CBC3E9C0A53}"/>
            </c:ext>
          </c:extLst>
        </c:ser>
        <c:dLbls>
          <c:showLegendKey val="0"/>
          <c:showVal val="0"/>
          <c:showCatName val="0"/>
          <c:showSerName val="0"/>
          <c:showPercent val="0"/>
          <c:showBubbleSize val="0"/>
        </c:dLbls>
        <c:gapWidth val="80"/>
        <c:axId val="115515248"/>
        <c:axId val="115515808"/>
      </c:barChart>
      <c:catAx>
        <c:axId val="115515248"/>
        <c:scaling>
          <c:orientation val="minMax"/>
        </c:scaling>
        <c:delete val="0"/>
        <c:axPos val="b"/>
        <c:majorGridlines>
          <c:spPr>
            <a:ln>
              <a:solidFill>
                <a:schemeClr val="bg1"/>
              </a:solidFill>
            </a:ln>
          </c:spPr>
        </c:majorGridlines>
        <c:minorGridlines>
          <c:spPr>
            <a:ln>
              <a:solidFill>
                <a:schemeClr val="bg1"/>
              </a:solidFill>
            </a:ln>
          </c:spPr>
        </c:minorGridlines>
        <c:numFmt formatCode="General" sourceLinked="0"/>
        <c:majorTickMark val="none"/>
        <c:minorTickMark val="none"/>
        <c:tickLblPos val="nextTo"/>
        <c:spPr>
          <a:ln>
            <a:solidFill>
              <a:schemeClr val="bg1"/>
            </a:solidFill>
          </a:ln>
        </c:spPr>
        <c:txPr>
          <a:bodyPr/>
          <a:lstStyle/>
          <a:p>
            <a:pPr>
              <a:defRPr b="1"/>
            </a:pPr>
            <a:endParaRPr lang="it-IT"/>
          </a:p>
        </c:txPr>
        <c:crossAx val="115515808"/>
        <c:crosses val="autoZero"/>
        <c:auto val="1"/>
        <c:lblAlgn val="ctr"/>
        <c:lblOffset val="100"/>
        <c:noMultiLvlLbl val="0"/>
      </c:catAx>
      <c:valAx>
        <c:axId val="115515808"/>
        <c:scaling>
          <c:orientation val="minMax"/>
          <c:max val="60"/>
          <c:min val="0"/>
        </c:scaling>
        <c:delete val="0"/>
        <c:axPos val="l"/>
        <c:majorGridlines>
          <c:spPr>
            <a:ln w="9525">
              <a:solidFill>
                <a:schemeClr val="bg1"/>
              </a:solidFill>
            </a:ln>
          </c:spPr>
        </c:majorGridlines>
        <c:numFmt formatCode="0" sourceLinked="0"/>
        <c:majorTickMark val="none"/>
        <c:minorTickMark val="none"/>
        <c:tickLblPos val="nextTo"/>
        <c:spPr>
          <a:ln>
            <a:solidFill>
              <a:schemeClr val="bg1"/>
            </a:solidFill>
          </a:ln>
        </c:spPr>
        <c:crossAx val="115515248"/>
        <c:crosses val="autoZero"/>
        <c:crossBetween val="between"/>
      </c:valAx>
      <c:spPr>
        <a:noFill/>
        <a:ln w="12700">
          <a:solidFill>
            <a:schemeClr val="bg1"/>
          </a:solidFill>
        </a:ln>
      </c:spPr>
    </c:plotArea>
    <c:legend>
      <c:legendPos val="t"/>
      <c:layout>
        <c:manualLayout>
          <c:xMode val="edge"/>
          <c:yMode val="edge"/>
          <c:x val="0.22263878726507705"/>
          <c:y val="0"/>
          <c:w val="0.54664318693684766"/>
          <c:h val="0.11499305555555556"/>
        </c:manualLayout>
      </c:layout>
      <c:overlay val="0"/>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744444444444445E-2"/>
          <c:y val="0.1662962962962963"/>
          <c:w val="0.9356538095238095"/>
          <c:h val="0.71714230928325895"/>
        </c:manualLayout>
      </c:layout>
      <c:lineChart>
        <c:grouping val="standard"/>
        <c:varyColors val="0"/>
        <c:ser>
          <c:idx val="1"/>
          <c:order val="0"/>
          <c:tx>
            <c:strRef>
              <c:f>'Fig.3 Primo-nuz '!$B$1:$B$2</c:f>
              <c:strCache>
                <c:ptCount val="2"/>
                <c:pt idx="0">
                  <c:v>2008</c:v>
                </c:pt>
              </c:strCache>
            </c:strRef>
          </c:tx>
          <c:spPr>
            <a:ln w="25400">
              <a:solidFill>
                <a:srgbClr val="E42618"/>
              </a:solidFill>
            </a:ln>
          </c:spPr>
          <c:marker>
            <c:symbol val="none"/>
          </c:marker>
          <c:cat>
            <c:numRef>
              <c:f>'Fig.3 Primo-nuz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'Fig.3 Primo-nuz '!$B$3:$B$36</c:f>
              <c:numCache>
                <c:formatCode>#,##0.0</c:formatCode>
                <c:ptCount val="34"/>
                <c:pt idx="0">
                  <c:v>2.9714149878171985E-2</c:v>
                </c:pt>
                <c:pt idx="1">
                  <c:v>3.9494860731247347E-2</c:v>
                </c:pt>
                <c:pt idx="2">
                  <c:v>0.54533777268941863</c:v>
                </c:pt>
                <c:pt idx="3">
                  <c:v>1.4172955779724836</c:v>
                </c:pt>
                <c:pt idx="4">
                  <c:v>2.828031049150193</c:v>
                </c:pt>
                <c:pt idx="5">
                  <c:v>4.8879403058625321</c:v>
                </c:pt>
                <c:pt idx="6">
                  <c:v>6.7797610363723688</c:v>
                </c:pt>
                <c:pt idx="7">
                  <c:v>9.9140399312831295</c:v>
                </c:pt>
                <c:pt idx="8">
                  <c:v>14.843626839649808</c:v>
                </c:pt>
                <c:pt idx="9">
                  <c:v>20.408039714251121</c:v>
                </c:pt>
                <c:pt idx="10">
                  <c:v>26.945524142575287</c:v>
                </c:pt>
                <c:pt idx="11">
                  <c:v>34.305247992701261</c:v>
                </c:pt>
                <c:pt idx="12">
                  <c:v>39.153266741029469</c:v>
                </c:pt>
                <c:pt idx="13">
                  <c:v>43.273656340520446</c:v>
                </c:pt>
                <c:pt idx="14">
                  <c:v>43.190679073132493</c:v>
                </c:pt>
                <c:pt idx="15">
                  <c:v>41.685043144774689</c:v>
                </c:pt>
                <c:pt idx="16">
                  <c:v>38.130856457187399</c:v>
                </c:pt>
                <c:pt idx="17">
                  <c:v>34.651038659709585</c:v>
                </c:pt>
                <c:pt idx="18">
                  <c:v>30.301954697652704</c:v>
                </c:pt>
                <c:pt idx="19">
                  <c:v>25.714887634410914</c:v>
                </c:pt>
                <c:pt idx="20">
                  <c:v>21.629613288732109</c:v>
                </c:pt>
                <c:pt idx="21">
                  <c:v>17.456857998431296</c:v>
                </c:pt>
                <c:pt idx="22">
                  <c:v>14.252696859484747</c:v>
                </c:pt>
                <c:pt idx="23">
                  <c:v>11.636506973294539</c:v>
                </c:pt>
                <c:pt idx="24">
                  <c:v>9.6586011975002002</c:v>
                </c:pt>
                <c:pt idx="25">
                  <c:v>7.6897475511143254</c:v>
                </c:pt>
                <c:pt idx="26">
                  <c:v>6.3233744770428704</c:v>
                </c:pt>
                <c:pt idx="27">
                  <c:v>5.3338144781335908</c:v>
                </c:pt>
                <c:pt idx="28">
                  <c:v>4.4353097276062128</c:v>
                </c:pt>
                <c:pt idx="29">
                  <c:v>3.7210056132650893</c:v>
                </c:pt>
                <c:pt idx="30">
                  <c:v>3.2478749826971316</c:v>
                </c:pt>
                <c:pt idx="31">
                  <c:v>2.8178610817583913</c:v>
                </c:pt>
                <c:pt idx="32">
                  <c:v>2.343404988817186</c:v>
                </c:pt>
                <c:pt idx="33">
                  <c:v>2.1494692729186546</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0-DC7C-479D-B191-032024897B74}"/>
            </c:ext>
          </c:extLst>
        </c:ser>
        <c:ser>
          <c:idx val="8"/>
          <c:order val="1"/>
          <c:tx>
            <c:strRef>
              <c:f>'Fig.3 Primo-nuz '!$C$1:$C$2</c:f>
              <c:strCache>
                <c:ptCount val="2"/>
                <c:pt idx="0">
                  <c:v>2010</c:v>
                </c:pt>
              </c:strCache>
            </c:strRef>
          </c:tx>
          <c:spPr>
            <a:ln>
              <a:solidFill>
                <a:srgbClr val="9BBB59"/>
              </a:solidFill>
            </a:ln>
          </c:spPr>
          <c:marker>
            <c:symbol val="none"/>
          </c:marker>
          <c:cat>
            <c:numRef>
              <c:f>'Fig.3 Primo-nuz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'Fig.3 Primo-nuz '!$C$3:$C$36</c:f>
              <c:numCache>
                <c:formatCode>#,##0.0</c:formatCode>
                <c:ptCount val="34"/>
                <c:pt idx="0">
                  <c:v>0</c:v>
                </c:pt>
                <c:pt idx="1">
                  <c:v>1.3170241838565761E-2</c:v>
                </c:pt>
                <c:pt idx="2">
                  <c:v>0.4067238554839126</c:v>
                </c:pt>
                <c:pt idx="3">
                  <c:v>0.92409876305530148</c:v>
                </c:pt>
                <c:pt idx="4">
                  <c:v>1.8596508665812723</c:v>
                </c:pt>
                <c:pt idx="5">
                  <c:v>3.2978195799266761</c:v>
                </c:pt>
                <c:pt idx="6">
                  <c:v>5.1116737368544944</c:v>
                </c:pt>
                <c:pt idx="7">
                  <c:v>7.7572040422861432</c:v>
                </c:pt>
                <c:pt idx="8">
                  <c:v>10.611423128506214</c:v>
                </c:pt>
                <c:pt idx="9">
                  <c:v>15.754092153369626</c:v>
                </c:pt>
                <c:pt idx="10">
                  <c:v>21.891745183603781</c:v>
                </c:pt>
                <c:pt idx="11">
                  <c:v>28.739395655611013</c:v>
                </c:pt>
                <c:pt idx="12">
                  <c:v>34.411657685443487</c:v>
                </c:pt>
                <c:pt idx="13">
                  <c:v>38.426504783511447</c:v>
                </c:pt>
                <c:pt idx="14">
                  <c:v>39.926636953905195</c:v>
                </c:pt>
                <c:pt idx="15">
                  <c:v>37.84769069238245</c:v>
                </c:pt>
                <c:pt idx="16">
                  <c:v>35.028609962415338</c:v>
                </c:pt>
                <c:pt idx="17">
                  <c:v>31.237488788172193</c:v>
                </c:pt>
                <c:pt idx="18">
                  <c:v>28.101361401338202</c:v>
                </c:pt>
                <c:pt idx="19">
                  <c:v>24.58228217948075</c:v>
                </c:pt>
                <c:pt idx="20">
                  <c:v>20.431881433075699</c:v>
                </c:pt>
                <c:pt idx="21">
                  <c:v>17.472272194227248</c:v>
                </c:pt>
                <c:pt idx="22">
                  <c:v>14.292747258307832</c:v>
                </c:pt>
                <c:pt idx="23">
                  <c:v>11.882976998448033</c:v>
                </c:pt>
                <c:pt idx="24">
                  <c:v>9.6744457348797717</c:v>
                </c:pt>
                <c:pt idx="25">
                  <c:v>7.6852495022546909</c:v>
                </c:pt>
                <c:pt idx="26">
                  <c:v>6.4459074383413579</c:v>
                </c:pt>
                <c:pt idx="27">
                  <c:v>4.9203011584830643</c:v>
                </c:pt>
                <c:pt idx="28">
                  <c:v>4.3320873579964552</c:v>
                </c:pt>
                <c:pt idx="29">
                  <c:v>3.8002539573331444</c:v>
                </c:pt>
                <c:pt idx="30">
                  <c:v>3.2509982684900529</c:v>
                </c:pt>
                <c:pt idx="31">
                  <c:v>2.6453954680083434</c:v>
                </c:pt>
                <c:pt idx="32">
                  <c:v>2.2144327853194148</c:v>
                </c:pt>
                <c:pt idx="33">
                  <c:v>2.1276005291250009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1-DC7C-479D-B191-032024897B74}"/>
            </c:ext>
          </c:extLst>
        </c:ser>
        <c:ser>
          <c:idx val="9"/>
          <c:order val="2"/>
          <c:tx>
            <c:strRef>
              <c:f>'Fig.3 Primo-nuz '!$D$1:$D$2</c:f>
              <c:strCache>
                <c:ptCount val="2"/>
                <c:pt idx="0">
                  <c:v>2014</c:v>
                </c:pt>
              </c:strCache>
            </c:strRef>
          </c:tx>
          <c:spPr>
            <a:ln>
              <a:solidFill>
                <a:srgbClr val="888888"/>
              </a:solidFill>
            </a:ln>
          </c:spPr>
          <c:marker>
            <c:symbol val="none"/>
          </c:marker>
          <c:cat>
            <c:numRef>
              <c:f>'Fig.3 Primo-nuz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'Fig.3 Primo-nuz '!$D$3:$D$36</c:f>
              <c:numCache>
                <c:formatCode>#,##0.0</c:formatCode>
                <c:ptCount val="34"/>
                <c:pt idx="0">
                  <c:v>0</c:v>
                </c:pt>
                <c:pt idx="1">
                  <c:v>6.8134743268287367E-3</c:v>
                </c:pt>
                <c:pt idx="2">
                  <c:v>0.25764327593425351</c:v>
                </c:pt>
                <c:pt idx="3">
                  <c:v>0.71905823531684765</c:v>
                </c:pt>
                <c:pt idx="4">
                  <c:v>1.2866870777027026</c:v>
                </c:pt>
                <c:pt idx="5">
                  <c:v>2.1387292490434948</c:v>
                </c:pt>
                <c:pt idx="6">
                  <c:v>3.529496732703425</c:v>
                </c:pt>
                <c:pt idx="7">
                  <c:v>5.7081152608599313</c:v>
                </c:pt>
                <c:pt idx="8">
                  <c:v>8.2785050322148557</c:v>
                </c:pt>
                <c:pt idx="9">
                  <c:v>11.919382967748275</c:v>
                </c:pt>
                <c:pt idx="10">
                  <c:v>16.815522114898901</c:v>
                </c:pt>
                <c:pt idx="11">
                  <c:v>22.491545143434337</c:v>
                </c:pt>
                <c:pt idx="12">
                  <c:v>27.270192482032421</c:v>
                </c:pt>
                <c:pt idx="13">
                  <c:v>31.429683623105291</c:v>
                </c:pt>
                <c:pt idx="14">
                  <c:v>34.362180937676897</c:v>
                </c:pt>
                <c:pt idx="15">
                  <c:v>34.784878508279142</c:v>
                </c:pt>
                <c:pt idx="16">
                  <c:v>33.3135104947307</c:v>
                </c:pt>
                <c:pt idx="17">
                  <c:v>30.255376399273523</c:v>
                </c:pt>
                <c:pt idx="18">
                  <c:v>26.175177454886775</c:v>
                </c:pt>
                <c:pt idx="19">
                  <c:v>23.045244417714489</c:v>
                </c:pt>
                <c:pt idx="20">
                  <c:v>19.456303326798224</c:v>
                </c:pt>
                <c:pt idx="21">
                  <c:v>16.534310635214858</c:v>
                </c:pt>
                <c:pt idx="22">
                  <c:v>13.858531054145141</c:v>
                </c:pt>
                <c:pt idx="23">
                  <c:v>12.094482901126149</c:v>
                </c:pt>
                <c:pt idx="24">
                  <c:v>10.411547391075937</c:v>
                </c:pt>
                <c:pt idx="25">
                  <c:v>8.5421641136050734</c:v>
                </c:pt>
                <c:pt idx="26">
                  <c:v>7.0813707974662989</c:v>
                </c:pt>
                <c:pt idx="27">
                  <c:v>5.7378646677047067</c:v>
                </c:pt>
                <c:pt idx="28">
                  <c:v>5.0397335666389562</c:v>
                </c:pt>
                <c:pt idx="29">
                  <c:v>4.1757649223398277</c:v>
                </c:pt>
                <c:pt idx="30">
                  <c:v>3.4952294144303631</c:v>
                </c:pt>
                <c:pt idx="31">
                  <c:v>3.0045385748116784</c:v>
                </c:pt>
                <c:pt idx="32">
                  <c:v>2.5279011998356866</c:v>
                </c:pt>
                <c:pt idx="33">
                  <c:v>2.3437167085694806</c:v>
                </c:pt>
              </c:numCache>
            </c:numRef>
          </c:val>
          <c:smooth val="0"/>
          <c:extLst xmlns:c16r2="http://schemas.microsoft.com/office/drawing/2015/06/chart">
            <c:ext xmlns:c16="http://schemas.microsoft.com/office/drawing/2014/chart" uri="{C3380CC4-5D6E-409C-BE32-E72D297353CC}">
              <c16:uniqueId val="{00000002-DC7C-479D-B191-032024897B74}"/>
            </c:ext>
          </c:extLst>
        </c:ser>
        <c:ser>
          <c:idx val="2"/>
          <c:order val="3"/>
          <c:tx>
            <c:strRef>
              <c:f>'Fig.3 Primo-nuz '!$E$1:$E$2</c:f>
              <c:strCache>
                <c:ptCount val="2"/>
                <c:pt idx="0">
                  <c:v>2019</c:v>
                </c:pt>
              </c:strCache>
            </c:strRef>
          </c:tx>
          <c:spPr>
            <a:ln w="25400">
              <a:solidFill>
                <a:srgbClr val="1F497D"/>
              </a:solidFill>
            </a:ln>
          </c:spPr>
          <c:marker>
            <c:symbol val="none"/>
          </c:marker>
          <c:cat>
            <c:numRef>
              <c:f>'Fig.3 Primo-nuz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'Fig.3 Primo-nuz '!$E$3:$E$36</c:f>
              <c:numCache>
                <c:formatCode>#,##0.0</c:formatCode>
                <c:ptCount val="34"/>
                <c:pt idx="0">
                  <c:v>0</c:v>
                </c:pt>
                <c:pt idx="1">
                  <c:v>3.4075381559085008E-3</c:v>
                </c:pt>
                <c:pt idx="2">
                  <c:v>0.14898984882496674</c:v>
                </c:pt>
                <c:pt idx="3">
                  <c:v>0.37016893016308539</c:v>
                </c:pt>
                <c:pt idx="4">
                  <c:v>0.87173581579675374</c:v>
                </c:pt>
                <c:pt idx="5">
                  <c:v>1.5652338468989606</c:v>
                </c:pt>
                <c:pt idx="6">
                  <c:v>2.6933919965937463</c:v>
                </c:pt>
                <c:pt idx="7">
                  <c:v>4.194378367881936</c:v>
                </c:pt>
                <c:pt idx="8">
                  <c:v>6.151854698434529</c:v>
                </c:pt>
                <c:pt idx="9">
                  <c:v>9.1580786306156128</c:v>
                </c:pt>
                <c:pt idx="10">
                  <c:v>13.095525903280899</c:v>
                </c:pt>
                <c:pt idx="11">
                  <c:v>18.315574682223705</c:v>
                </c:pt>
                <c:pt idx="12">
                  <c:v>23.613229381085954</c:v>
                </c:pt>
                <c:pt idx="13">
                  <c:v>28.329616789178719</c:v>
                </c:pt>
                <c:pt idx="14">
                  <c:v>31.157497884590484</c:v>
                </c:pt>
                <c:pt idx="15">
                  <c:v>32.457244748588884</c:v>
                </c:pt>
                <c:pt idx="16">
                  <c:v>30.576119421143236</c:v>
                </c:pt>
                <c:pt idx="17">
                  <c:v>29.24922496293301</c:v>
                </c:pt>
                <c:pt idx="18">
                  <c:v>26.793428756366662</c:v>
                </c:pt>
                <c:pt idx="19">
                  <c:v>23.851751482643397</c:v>
                </c:pt>
                <c:pt idx="20">
                  <c:v>20.89335961852769</c:v>
                </c:pt>
                <c:pt idx="21">
                  <c:v>17.366854802994915</c:v>
                </c:pt>
                <c:pt idx="22">
                  <c:v>14.364260049283008</c:v>
                </c:pt>
                <c:pt idx="23">
                  <c:v>12.716257605914883</c:v>
                </c:pt>
                <c:pt idx="24">
                  <c:v>10.795001599447556</c:v>
                </c:pt>
                <c:pt idx="25">
                  <c:v>9.3922126560797015</c:v>
                </c:pt>
                <c:pt idx="26">
                  <c:v>8.189458895623229</c:v>
                </c:pt>
                <c:pt idx="27">
                  <c:v>7.2089130839067446</c:v>
                </c:pt>
                <c:pt idx="28">
                  <c:v>5.9036826705736427</c:v>
                </c:pt>
                <c:pt idx="29">
                  <c:v>5.2082224785775395</c:v>
                </c:pt>
                <c:pt idx="30">
                  <c:v>4.5932037596223365</c:v>
                </c:pt>
                <c:pt idx="31">
                  <c:v>4.2262431987852711</c:v>
                </c:pt>
                <c:pt idx="32">
                  <c:v>3.6728288808115281</c:v>
                </c:pt>
                <c:pt idx="33">
                  <c:v>3.2715627632864011</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DC7C-479D-B191-032024897B74}"/>
            </c:ext>
          </c:extLst>
        </c:ser>
        <c:ser>
          <c:idx val="0"/>
          <c:order val="4"/>
          <c:tx>
            <c:strRef>
              <c:f>'Fig.3 Primo-nuz '!$F$1:$F$2</c:f>
              <c:strCache>
                <c:ptCount val="2"/>
                <c:pt idx="0">
                  <c:v>2020</c:v>
                </c:pt>
              </c:strCache>
            </c:strRef>
          </c:tx>
          <c:marker>
            <c:symbol val="none"/>
          </c:marker>
          <c:cat>
            <c:numRef>
              <c:f>'Fig.3 Primo-nuz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'Fig.3 Primo-nuz '!$F$3:$F$36</c:f>
              <c:numCache>
                <c:formatCode>#,##0.0</c:formatCode>
                <c:ptCount val="34"/>
                <c:pt idx="0">
                  <c:v>0</c:v>
                </c:pt>
                <c:pt idx="1">
                  <c:v>0</c:v>
                </c:pt>
                <c:pt idx="2">
                  <c:v>6.0937008060612009E-2</c:v>
                </c:pt>
                <c:pt idx="3">
                  <c:v>0.19745318302758255</c:v>
                </c:pt>
                <c:pt idx="4">
                  <c:v>0.52415480038438023</c:v>
                </c:pt>
                <c:pt idx="5">
                  <c:v>0.91369300880072968</c:v>
                </c:pt>
                <c:pt idx="6">
                  <c:v>1.5087749710283103</c:v>
                </c:pt>
                <c:pt idx="7">
                  <c:v>2.2260633571878587</c:v>
                </c:pt>
                <c:pt idx="8">
                  <c:v>3.3048094869761644</c:v>
                </c:pt>
                <c:pt idx="9">
                  <c:v>4.9609169411902299</c:v>
                </c:pt>
                <c:pt idx="10">
                  <c:v>6.6141595230842878</c:v>
                </c:pt>
                <c:pt idx="11">
                  <c:v>8.7693399752498582</c:v>
                </c:pt>
                <c:pt idx="12">
                  <c:v>10.972568578553616</c:v>
                </c:pt>
                <c:pt idx="13">
                  <c:v>12.536258255519163</c:v>
                </c:pt>
                <c:pt idx="14">
                  <c:v>13.791461018589619</c:v>
                </c:pt>
                <c:pt idx="15">
                  <c:v>14.116869112599776</c:v>
                </c:pt>
                <c:pt idx="16">
                  <c:v>13.711022916865559</c:v>
                </c:pt>
                <c:pt idx="17">
                  <c:v>12.796267220305245</c:v>
                </c:pt>
                <c:pt idx="18">
                  <c:v>11.890352224209469</c:v>
                </c:pt>
                <c:pt idx="19">
                  <c:v>10.711942595049736</c:v>
                </c:pt>
                <c:pt idx="20">
                  <c:v>9.6035434361108827</c:v>
                </c:pt>
                <c:pt idx="21">
                  <c:v>8.2049982043644505</c:v>
                </c:pt>
                <c:pt idx="22">
                  <c:v>7.2928381617953226</c:v>
                </c:pt>
                <c:pt idx="23">
                  <c:v>6.3556756918531168</c:v>
                </c:pt>
                <c:pt idx="24">
                  <c:v>5.6077364522726825</c:v>
                </c:pt>
                <c:pt idx="25">
                  <c:v>4.769574545292496</c:v>
                </c:pt>
                <c:pt idx="26">
                  <c:v>4.3531904850994936</c:v>
                </c:pt>
                <c:pt idx="27">
                  <c:v>3.6963123029843117</c:v>
                </c:pt>
                <c:pt idx="28">
                  <c:v>3.3227923209591341</c:v>
                </c:pt>
                <c:pt idx="29">
                  <c:v>3.0093041444552648</c:v>
                </c:pt>
                <c:pt idx="30">
                  <c:v>2.8588997399447438</c:v>
                </c:pt>
                <c:pt idx="31">
                  <c:v>2.738846506210932</c:v>
                </c:pt>
                <c:pt idx="32">
                  <c:v>2.2615938418640273</c:v>
                </c:pt>
                <c:pt idx="33">
                  <c:v>2.047859711010108</c:v>
                </c:pt>
              </c:numCache>
            </c:numRef>
          </c:val>
          <c:smooth val="0"/>
          <c:extLst xmlns:c16r2="http://schemas.microsoft.com/office/drawing/2015/06/chart">
            <c:ext xmlns:c16="http://schemas.microsoft.com/office/drawing/2014/chart" uri="{C3380CC4-5D6E-409C-BE32-E72D297353CC}">
              <c16:uniqueId val="{00000004-DC7C-479D-B191-032024897B74}"/>
            </c:ext>
          </c:extLst>
        </c:ser>
        <c:dLbls>
          <c:showLegendKey val="0"/>
          <c:showVal val="0"/>
          <c:showCatName val="0"/>
          <c:showSerName val="0"/>
          <c:showPercent val="0"/>
          <c:showBubbleSize val="0"/>
        </c:dLbls>
        <c:smooth val="0"/>
        <c:axId val="115520288"/>
        <c:axId val="115520848"/>
        <c:extLst xmlns:c16r2="http://schemas.microsoft.com/office/drawing/2015/06/chart"/>
      </c:lineChart>
      <c:catAx>
        <c:axId val="115520288"/>
        <c:scaling>
          <c:orientation val="minMax"/>
        </c:scaling>
        <c:delete val="0"/>
        <c:axPos val="b"/>
        <c:majorGridlines>
          <c:spPr>
            <a:ln>
              <a:solidFill>
                <a:schemeClr val="bg1"/>
              </a:solidFill>
            </a:ln>
          </c:spPr>
        </c:majorGridlines>
        <c:minorGridlines>
          <c:spPr>
            <a:ln>
              <a:solidFill>
                <a:schemeClr val="bg1"/>
              </a:solidFill>
            </a:ln>
          </c:spPr>
        </c:minorGridlines>
        <c:numFmt formatCode="General" sourceLinked="0"/>
        <c:majorTickMark val="out"/>
        <c:minorTickMark val="none"/>
        <c:tickLblPos val="nextTo"/>
        <c:spPr>
          <a:ln>
            <a:solidFill>
              <a:schemeClr val="bg1"/>
            </a:solidFill>
          </a:ln>
        </c:spPr>
        <c:txPr>
          <a:bodyPr/>
          <a:lstStyle/>
          <a:p>
            <a:pPr>
              <a:defRPr sz="800" b="1"/>
            </a:pPr>
            <a:endParaRPr lang="it-IT"/>
          </a:p>
        </c:txPr>
        <c:crossAx val="115520848"/>
        <c:crosses val="autoZero"/>
        <c:auto val="1"/>
        <c:lblAlgn val="ctr"/>
        <c:lblOffset val="100"/>
        <c:tickLblSkip val="2"/>
        <c:noMultiLvlLbl val="0"/>
      </c:catAx>
      <c:valAx>
        <c:axId val="115520848"/>
        <c:scaling>
          <c:orientation val="minMax"/>
          <c:max val="50"/>
          <c:min val="0"/>
        </c:scaling>
        <c:delete val="0"/>
        <c:axPos val="l"/>
        <c:majorGridlines>
          <c:spPr>
            <a:ln w="9525">
              <a:solidFill>
                <a:schemeClr val="bg1"/>
              </a:solidFill>
            </a:ln>
          </c:spPr>
        </c:majorGridlines>
        <c:numFmt formatCode="#,##0" sourceLinked="0"/>
        <c:majorTickMark val="out"/>
        <c:minorTickMark val="none"/>
        <c:tickLblPos val="nextTo"/>
        <c:spPr>
          <a:ln>
            <a:solidFill>
              <a:schemeClr val="bg1"/>
            </a:solidFill>
          </a:ln>
        </c:spPr>
        <c:txPr>
          <a:bodyPr/>
          <a:lstStyle/>
          <a:p>
            <a:pPr>
              <a:defRPr sz="800"/>
            </a:pPr>
            <a:endParaRPr lang="it-IT"/>
          </a:p>
        </c:txPr>
        <c:crossAx val="115520288"/>
        <c:crosses val="autoZero"/>
        <c:crossBetween val="between"/>
      </c:valAx>
      <c:spPr>
        <a:noFill/>
      </c:spPr>
    </c:plotArea>
    <c:legend>
      <c:legendPos val="t"/>
      <c:layout>
        <c:manualLayout>
          <c:xMode val="edge"/>
          <c:yMode val="edge"/>
          <c:x val="6.0410289717882634E-2"/>
          <c:y val="1.7638888888888888E-2"/>
          <c:w val="0.92935072831705823"/>
          <c:h val="9.4592129629629623E-2"/>
        </c:manualLayout>
      </c:layout>
      <c:overlay val="0"/>
      <c:txPr>
        <a:bodyPr/>
        <a:lstStyle/>
        <a:p>
          <a:pPr>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744444444444445E-2"/>
          <c:y val="0.1662962962962963"/>
          <c:w val="0.9356538095238095"/>
          <c:h val="0.71714230928325895"/>
        </c:manualLayout>
      </c:layout>
      <c:lineChart>
        <c:grouping val="standard"/>
        <c:varyColors val="0"/>
        <c:ser>
          <c:idx val="1"/>
          <c:order val="0"/>
          <c:tx>
            <c:strRef>
              <c:f>'Dati per Fig.3 '!$B$1:$B$2</c:f>
              <c:strCache>
                <c:ptCount val="2"/>
                <c:pt idx="0">
                  <c:v>2008</c:v>
                </c:pt>
              </c:strCache>
            </c:strRef>
          </c:tx>
          <c:spPr>
            <a:ln w="25400">
              <a:solidFill>
                <a:srgbClr val="E42618"/>
              </a:solidFill>
            </a:ln>
          </c:spPr>
          <c:marker>
            <c:symbol val="none"/>
          </c:marker>
          <c:cat>
            <c:numRef>
              <c:f>'Dati per Fig.3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'Dati per Fig.3 '!$B$3:$B$36</c:f>
              <c:numCache>
                <c:formatCode>#,##0.0</c:formatCode>
                <c:ptCount val="34"/>
                <c:pt idx="0">
                  <c:v>0.17471857206005428</c:v>
                </c:pt>
                <c:pt idx="1">
                  <c:v>0.36612602057628235</c:v>
                </c:pt>
                <c:pt idx="2">
                  <c:v>6.082426281934044</c:v>
                </c:pt>
                <c:pt idx="3">
                  <c:v>8.2190070607166152</c:v>
                </c:pt>
                <c:pt idx="4">
                  <c:v>11.165336342283105</c:v>
                </c:pt>
                <c:pt idx="5">
                  <c:v>15.04752445919692</c:v>
                </c:pt>
                <c:pt idx="6">
                  <c:v>20.029130204571175</c:v>
                </c:pt>
                <c:pt idx="7">
                  <c:v>26.03283880974039</c:v>
                </c:pt>
                <c:pt idx="8">
                  <c:v>32.965998528958927</c:v>
                </c:pt>
                <c:pt idx="9">
                  <c:v>39.930235133439147</c:v>
                </c:pt>
                <c:pt idx="10">
                  <c:v>45.792472852985505</c:v>
                </c:pt>
                <c:pt idx="11">
                  <c:v>49.205076258441942</c:v>
                </c:pt>
                <c:pt idx="12">
                  <c:v>48.605846999931849</c:v>
                </c:pt>
                <c:pt idx="13">
                  <c:v>46.291426955632431</c:v>
                </c:pt>
                <c:pt idx="14">
                  <c:v>41.811189865781934</c:v>
                </c:pt>
                <c:pt idx="15">
                  <c:v>35.947983900581399</c:v>
                </c:pt>
                <c:pt idx="16">
                  <c:v>30.611646095128073</c:v>
                </c:pt>
                <c:pt idx="17">
                  <c:v>25.850829375260592</c:v>
                </c:pt>
                <c:pt idx="18">
                  <c:v>20.99433448542198</c:v>
                </c:pt>
                <c:pt idx="19">
                  <c:v>17.114067983210624</c:v>
                </c:pt>
                <c:pt idx="20">
                  <c:v>13.410713717335257</c:v>
                </c:pt>
                <c:pt idx="21">
                  <c:v>10.446073573105062</c:v>
                </c:pt>
                <c:pt idx="22">
                  <c:v>8.422634181455976</c:v>
                </c:pt>
                <c:pt idx="23">
                  <c:v>6.8829667803126027</c:v>
                </c:pt>
                <c:pt idx="24">
                  <c:v>5.7901886166384973</c:v>
                </c:pt>
                <c:pt idx="25">
                  <c:v>4.424688078959881</c:v>
                </c:pt>
                <c:pt idx="26">
                  <c:v>3.5253277405456425</c:v>
                </c:pt>
                <c:pt idx="27">
                  <c:v>3.112210224650684</c:v>
                </c:pt>
                <c:pt idx="28">
                  <c:v>2.6861354797679167</c:v>
                </c:pt>
                <c:pt idx="29">
                  <c:v>2.1968365553602816</c:v>
                </c:pt>
                <c:pt idx="30">
                  <c:v>1.8945367207091171</c:v>
                </c:pt>
                <c:pt idx="31">
                  <c:v>1.5167879307017516</c:v>
                </c:pt>
                <c:pt idx="32">
                  <c:v>1.3743490383033161</c:v>
                </c:pt>
                <c:pt idx="33">
                  <c:v>1.2614566353337116</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0-5D66-41C1-BCEE-E784074069CB}"/>
            </c:ext>
          </c:extLst>
        </c:ser>
        <c:ser>
          <c:idx val="8"/>
          <c:order val="1"/>
          <c:tx>
            <c:strRef>
              <c:f>'Dati per Fig.3 '!$C$1:$C$2</c:f>
              <c:strCache>
                <c:ptCount val="2"/>
                <c:pt idx="0">
                  <c:v>2010</c:v>
                </c:pt>
              </c:strCache>
            </c:strRef>
          </c:tx>
          <c:spPr>
            <a:ln>
              <a:solidFill>
                <a:srgbClr val="9BBB59"/>
              </a:solidFill>
            </a:ln>
          </c:spPr>
          <c:marker>
            <c:symbol val="none"/>
          </c:marker>
          <c:cat>
            <c:numRef>
              <c:f>'Dati per Fig.3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'Dati per Fig.3 '!$C$3:$C$36</c:f>
              <c:numCache>
                <c:formatCode>#,##0.0</c:formatCode>
                <c:ptCount val="34"/>
                <c:pt idx="0">
                  <c:v>7.9344613492551522E-2</c:v>
                </c:pt>
                <c:pt idx="1">
                  <c:v>0.20288871553952659</c:v>
                </c:pt>
                <c:pt idx="2">
                  <c:v>3.9093592536115156</c:v>
                </c:pt>
                <c:pt idx="3">
                  <c:v>5.4600920473981009</c:v>
                </c:pt>
                <c:pt idx="4">
                  <c:v>7.7999874848422843</c:v>
                </c:pt>
                <c:pt idx="5">
                  <c:v>11.022860556129082</c:v>
                </c:pt>
                <c:pt idx="6">
                  <c:v>14.899088443950809</c:v>
                </c:pt>
                <c:pt idx="7">
                  <c:v>20.660371379681855</c:v>
                </c:pt>
                <c:pt idx="8">
                  <c:v>26.568356613880134</c:v>
                </c:pt>
                <c:pt idx="9">
                  <c:v>34.014064080151144</c:v>
                </c:pt>
                <c:pt idx="10">
                  <c:v>40.362447053777274</c:v>
                </c:pt>
                <c:pt idx="11">
                  <c:v>42.841277913774775</c:v>
                </c:pt>
                <c:pt idx="12">
                  <c:v>44.842546833697277</c:v>
                </c:pt>
                <c:pt idx="13">
                  <c:v>43.247225002530392</c:v>
                </c:pt>
                <c:pt idx="14">
                  <c:v>39.184043222600728</c:v>
                </c:pt>
                <c:pt idx="15">
                  <c:v>34.470957585431591</c:v>
                </c:pt>
                <c:pt idx="16">
                  <c:v>29.064410339737048</c:v>
                </c:pt>
                <c:pt idx="17">
                  <c:v>24.166778903055171</c:v>
                </c:pt>
                <c:pt idx="18">
                  <c:v>20.174891401739838</c:v>
                </c:pt>
                <c:pt idx="19">
                  <c:v>16.753924430583446</c:v>
                </c:pt>
                <c:pt idx="20">
                  <c:v>13.587736589286738</c:v>
                </c:pt>
                <c:pt idx="21">
                  <c:v>10.659155025105925</c:v>
                </c:pt>
                <c:pt idx="22">
                  <c:v>8.3153857671000946</c:v>
                </c:pt>
                <c:pt idx="23">
                  <c:v>7.0506956714242159</c:v>
                </c:pt>
                <c:pt idx="24">
                  <c:v>5.5965850084682449</c:v>
                </c:pt>
                <c:pt idx="25">
                  <c:v>4.3232304649772342</c:v>
                </c:pt>
                <c:pt idx="26">
                  <c:v>3.7072498806997176</c:v>
                </c:pt>
                <c:pt idx="27">
                  <c:v>2.9712419001780113</c:v>
                </c:pt>
                <c:pt idx="28">
                  <c:v>2.5660274071852793</c:v>
                </c:pt>
                <c:pt idx="29">
                  <c:v>2.1112743448208362</c:v>
                </c:pt>
                <c:pt idx="30">
                  <c:v>1.8518367446831074</c:v>
                </c:pt>
                <c:pt idx="31">
                  <c:v>1.5462889598167486</c:v>
                </c:pt>
                <c:pt idx="32">
                  <c:v>1.4155394778232147</c:v>
                </c:pt>
                <c:pt idx="33">
                  <c:v>1.2882130740208129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1-5D66-41C1-BCEE-E784074069CB}"/>
            </c:ext>
          </c:extLst>
        </c:ser>
        <c:ser>
          <c:idx val="9"/>
          <c:order val="2"/>
          <c:tx>
            <c:strRef>
              <c:f>'Dati per Fig.3 '!$D$1:$D$2</c:f>
              <c:strCache>
                <c:ptCount val="2"/>
                <c:pt idx="0">
                  <c:v>2014</c:v>
                </c:pt>
              </c:strCache>
            </c:strRef>
          </c:tx>
          <c:spPr>
            <a:ln>
              <a:solidFill>
                <a:srgbClr val="888888"/>
              </a:solidFill>
            </a:ln>
          </c:spPr>
          <c:marker>
            <c:symbol val="none"/>
          </c:marker>
          <c:cat>
            <c:numRef>
              <c:f>'Dati per Fig.3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'Dati per Fig.3 '!$D$3:$D$36</c:f>
              <c:numCache>
                <c:formatCode>#,##0.0</c:formatCode>
                <c:ptCount val="34"/>
                <c:pt idx="0">
                  <c:v>2.9144110339601743E-2</c:v>
                </c:pt>
                <c:pt idx="1">
                  <c:v>8.0118721378042018E-2</c:v>
                </c:pt>
                <c:pt idx="2">
                  <c:v>2.4523983655528991</c:v>
                </c:pt>
                <c:pt idx="3">
                  <c:v>3.4999307567656035</c:v>
                </c:pt>
                <c:pt idx="4">
                  <c:v>5.2527583117536603</c:v>
                </c:pt>
                <c:pt idx="5">
                  <c:v>7.8831949071790124</c:v>
                </c:pt>
                <c:pt idx="6">
                  <c:v>10.510030052220268</c:v>
                </c:pt>
                <c:pt idx="7">
                  <c:v>14.093469320665484</c:v>
                </c:pt>
                <c:pt idx="8">
                  <c:v>19.867283975382541</c:v>
                </c:pt>
                <c:pt idx="9">
                  <c:v>25.653214153170723</c:v>
                </c:pt>
                <c:pt idx="10">
                  <c:v>31.816882517205741</c:v>
                </c:pt>
                <c:pt idx="11">
                  <c:v>35.609701540734719</c:v>
                </c:pt>
                <c:pt idx="12">
                  <c:v>38.448764706967701</c:v>
                </c:pt>
                <c:pt idx="13">
                  <c:v>39.157603375325628</c:v>
                </c:pt>
                <c:pt idx="14">
                  <c:v>37.586191223926377</c:v>
                </c:pt>
                <c:pt idx="15">
                  <c:v>33.533490722049244</c:v>
                </c:pt>
                <c:pt idx="16">
                  <c:v>29.134714297446919</c:v>
                </c:pt>
                <c:pt idx="17">
                  <c:v>24.501097564816579</c:v>
                </c:pt>
                <c:pt idx="18">
                  <c:v>19.541547735271351</c:v>
                </c:pt>
                <c:pt idx="19">
                  <c:v>16.178875643174528</c:v>
                </c:pt>
                <c:pt idx="20">
                  <c:v>13.55312425441992</c:v>
                </c:pt>
                <c:pt idx="21">
                  <c:v>10.732175459950376</c:v>
                </c:pt>
                <c:pt idx="22">
                  <c:v>9.0667143783687081</c:v>
                </c:pt>
                <c:pt idx="23">
                  <c:v>7.6402595249174947</c:v>
                </c:pt>
                <c:pt idx="24">
                  <c:v>6.5715068786602435</c:v>
                </c:pt>
                <c:pt idx="25">
                  <c:v>5.1554918971665735</c:v>
                </c:pt>
                <c:pt idx="26">
                  <c:v>4.3148093154353244</c:v>
                </c:pt>
                <c:pt idx="27">
                  <c:v>3.694694398203429</c:v>
                </c:pt>
                <c:pt idx="28">
                  <c:v>2.9797822388219846</c:v>
                </c:pt>
                <c:pt idx="29">
                  <c:v>2.5629270282770222</c:v>
                </c:pt>
                <c:pt idx="30">
                  <c:v>2.3658032426845814</c:v>
                </c:pt>
                <c:pt idx="31">
                  <c:v>1.9139369683438834</c:v>
                </c:pt>
                <c:pt idx="32">
                  <c:v>1.5977168626033398</c:v>
                </c:pt>
                <c:pt idx="33">
                  <c:v>1.5068347844879288</c:v>
                </c:pt>
              </c:numCache>
            </c:numRef>
          </c:val>
          <c:smooth val="0"/>
          <c:extLst xmlns:c16r2="http://schemas.microsoft.com/office/drawing/2015/06/chart">
            <c:ext xmlns:c16="http://schemas.microsoft.com/office/drawing/2014/chart" uri="{C3380CC4-5D6E-409C-BE32-E72D297353CC}">
              <c16:uniqueId val="{00000002-5D66-41C1-BCEE-E784074069CB}"/>
            </c:ext>
          </c:extLst>
        </c:ser>
        <c:ser>
          <c:idx val="2"/>
          <c:order val="3"/>
          <c:tx>
            <c:strRef>
              <c:f>'Dati per Fig.3 '!$E$1:$E$2</c:f>
              <c:strCache>
                <c:ptCount val="2"/>
                <c:pt idx="0">
                  <c:v>2019</c:v>
                </c:pt>
              </c:strCache>
            </c:strRef>
          </c:tx>
          <c:spPr>
            <a:ln w="25400">
              <a:solidFill>
                <a:srgbClr val="1F497D"/>
              </a:solidFill>
            </a:ln>
          </c:spPr>
          <c:marker>
            <c:symbol val="none"/>
          </c:marker>
          <c:cat>
            <c:numRef>
              <c:f>'Dati per Fig.3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'Dati per Fig.3 '!$E$3:$E$36</c:f>
              <c:numCache>
                <c:formatCode>#,##0.0</c:formatCode>
                <c:ptCount val="34"/>
                <c:pt idx="0">
                  <c:v>1.0941397872992253E-2</c:v>
                </c:pt>
                <c:pt idx="1">
                  <c:v>3.2772260102504343E-2</c:v>
                </c:pt>
                <c:pt idx="2">
                  <c:v>1.4313593250010763</c:v>
                </c:pt>
                <c:pt idx="3">
                  <c:v>2.3842496751995204</c:v>
                </c:pt>
                <c:pt idx="4">
                  <c:v>3.6068465548520332</c:v>
                </c:pt>
                <c:pt idx="5">
                  <c:v>4.9178423681412458</c:v>
                </c:pt>
                <c:pt idx="6">
                  <c:v>7.4019034481777881</c:v>
                </c:pt>
                <c:pt idx="7">
                  <c:v>10.762122423564874</c:v>
                </c:pt>
                <c:pt idx="8">
                  <c:v>14.675367846458</c:v>
                </c:pt>
                <c:pt idx="9">
                  <c:v>19.666527078650724</c:v>
                </c:pt>
                <c:pt idx="10">
                  <c:v>25.763688094573642</c:v>
                </c:pt>
                <c:pt idx="11">
                  <c:v>31.800705678028748</c:v>
                </c:pt>
                <c:pt idx="12">
                  <c:v>35.798269154324956</c:v>
                </c:pt>
                <c:pt idx="13">
                  <c:v>37.538091141426463</c:v>
                </c:pt>
                <c:pt idx="14">
                  <c:v>37.497283705336358</c:v>
                </c:pt>
                <c:pt idx="15">
                  <c:v>34.850146227093539</c:v>
                </c:pt>
                <c:pt idx="16">
                  <c:v>29.657443943890314</c:v>
                </c:pt>
                <c:pt idx="17">
                  <c:v>25.303243318909114</c:v>
                </c:pt>
                <c:pt idx="18">
                  <c:v>22.250849045555686</c:v>
                </c:pt>
                <c:pt idx="19">
                  <c:v>18.352631456328776</c:v>
                </c:pt>
                <c:pt idx="20">
                  <c:v>15.189672496602237</c:v>
                </c:pt>
                <c:pt idx="21">
                  <c:v>12.446023132646291</c:v>
                </c:pt>
                <c:pt idx="22">
                  <c:v>10.205892067027516</c:v>
                </c:pt>
                <c:pt idx="23">
                  <c:v>8.8236425854201581</c:v>
                </c:pt>
                <c:pt idx="24">
                  <c:v>8.0565047828351481</c:v>
                </c:pt>
                <c:pt idx="25">
                  <c:v>6.5366401328759638</c:v>
                </c:pt>
                <c:pt idx="26">
                  <c:v>5.3611705105174039</c:v>
                </c:pt>
                <c:pt idx="27">
                  <c:v>4.9681125090535403</c:v>
                </c:pt>
                <c:pt idx="28">
                  <c:v>4.286257721961177</c:v>
                </c:pt>
                <c:pt idx="29">
                  <c:v>3.8040143192614275</c:v>
                </c:pt>
                <c:pt idx="30">
                  <c:v>3.3994465138350543</c:v>
                </c:pt>
                <c:pt idx="31">
                  <c:v>2.9991795873012577</c:v>
                </c:pt>
                <c:pt idx="32">
                  <c:v>2.4949593118554083</c:v>
                </c:pt>
                <c:pt idx="33">
                  <c:v>2.439910283534402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5D66-41C1-BCEE-E784074069CB}"/>
            </c:ext>
          </c:extLst>
        </c:ser>
        <c:ser>
          <c:idx val="0"/>
          <c:order val="4"/>
          <c:tx>
            <c:strRef>
              <c:f>'Dati per Fig.3 '!$F$1:$F$2</c:f>
              <c:strCache>
                <c:ptCount val="2"/>
                <c:pt idx="0">
                  <c:v>2020</c:v>
                </c:pt>
              </c:strCache>
            </c:strRef>
          </c:tx>
          <c:marker>
            <c:symbol val="none"/>
          </c:marker>
          <c:cat>
            <c:numRef>
              <c:f>'Dati per Fig.3 '!$A$3:$A$36</c:f>
              <c:numCache>
                <c:formatCode>_-* #,##0_-;\-* #,##0_-;_-* "-"??_-;_-@_-</c:formatCode>
                <c:ptCount val="3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numCache>
            </c:numRef>
          </c:cat>
          <c:val>
            <c:numRef>
              <c:f>'Dati per Fig.3 '!$F$3:$F$36</c:f>
              <c:numCache>
                <c:formatCode>0.0</c:formatCode>
                <c:ptCount val="34"/>
                <c:pt idx="0">
                  <c:v>1.0831693535284242E-2</c:v>
                </c:pt>
                <c:pt idx="1">
                  <c:v>2.5495988024170194E-2</c:v>
                </c:pt>
                <c:pt idx="2">
                  <c:v>0.89438934295104855</c:v>
                </c:pt>
                <c:pt idx="3">
                  <c:v>1.3159612149039759</c:v>
                </c:pt>
                <c:pt idx="4">
                  <c:v>2.1912779312344255</c:v>
                </c:pt>
                <c:pt idx="5">
                  <c:v>2.9709926011201109</c:v>
                </c:pt>
                <c:pt idx="6">
                  <c:v>4.0303773672236325</c:v>
                </c:pt>
                <c:pt idx="7">
                  <c:v>5.5827826416551396</c:v>
                </c:pt>
                <c:pt idx="8">
                  <c:v>7.3790060044852783</c:v>
                </c:pt>
                <c:pt idx="9">
                  <c:v>9.9442666671327142</c:v>
                </c:pt>
                <c:pt idx="10">
                  <c:v>12.474724386665091</c:v>
                </c:pt>
                <c:pt idx="11">
                  <c:v>14.055513818883435</c:v>
                </c:pt>
                <c:pt idx="12">
                  <c:v>15.90039338007252</c:v>
                </c:pt>
                <c:pt idx="13">
                  <c:v>16.126164654099533</c:v>
                </c:pt>
                <c:pt idx="14">
                  <c:v>16.280710189440786</c:v>
                </c:pt>
                <c:pt idx="15">
                  <c:v>14.883141165472109</c:v>
                </c:pt>
                <c:pt idx="16">
                  <c:v>13.96223370917598</c:v>
                </c:pt>
                <c:pt idx="17">
                  <c:v>12.013265686019469</c:v>
                </c:pt>
                <c:pt idx="18">
                  <c:v>10.355309499539153</c:v>
                </c:pt>
                <c:pt idx="19">
                  <c:v>8.8239230323127487</c:v>
                </c:pt>
                <c:pt idx="20">
                  <c:v>7.6942716045780477</c:v>
                </c:pt>
                <c:pt idx="21">
                  <c:v>6.3266068175719514</c:v>
                </c:pt>
                <c:pt idx="22">
                  <c:v>5.562321582640009</c:v>
                </c:pt>
                <c:pt idx="23">
                  <c:v>4.9716501149984493</c:v>
                </c:pt>
                <c:pt idx="24">
                  <c:v>4.4122549651150278</c:v>
                </c:pt>
                <c:pt idx="25">
                  <c:v>3.6163192126494881</c:v>
                </c:pt>
                <c:pt idx="26">
                  <c:v>3.2181621368596587</c:v>
                </c:pt>
                <c:pt idx="27">
                  <c:v>2.8200115332142506</c:v>
                </c:pt>
                <c:pt idx="28">
                  <c:v>2.5009412144355401</c:v>
                </c:pt>
                <c:pt idx="29">
                  <c:v>2.4181072678391731</c:v>
                </c:pt>
                <c:pt idx="30">
                  <c:v>2.1374592902539025</c:v>
                </c:pt>
                <c:pt idx="31">
                  <c:v>1.9961948193590933</c:v>
                </c:pt>
                <c:pt idx="32">
                  <c:v>1.7896086167573957</c:v>
                </c:pt>
                <c:pt idx="33">
                  <c:v>1.5822719098977132</c:v>
                </c:pt>
              </c:numCache>
            </c:numRef>
          </c:val>
          <c:smooth val="0"/>
          <c:extLst xmlns:c16r2="http://schemas.microsoft.com/office/drawing/2015/06/chart">
            <c:ext xmlns:c16="http://schemas.microsoft.com/office/drawing/2014/chart" uri="{C3380CC4-5D6E-409C-BE32-E72D297353CC}">
              <c16:uniqueId val="{00000004-5D66-41C1-BCEE-E784074069CB}"/>
            </c:ext>
          </c:extLst>
        </c:ser>
        <c:dLbls>
          <c:showLegendKey val="0"/>
          <c:showVal val="0"/>
          <c:showCatName val="0"/>
          <c:showSerName val="0"/>
          <c:showPercent val="0"/>
          <c:showBubbleSize val="0"/>
        </c:dLbls>
        <c:smooth val="0"/>
        <c:axId val="165344752"/>
        <c:axId val="165345312"/>
        <c:extLst xmlns:c16r2="http://schemas.microsoft.com/office/drawing/2015/06/chart"/>
      </c:lineChart>
      <c:catAx>
        <c:axId val="165344752"/>
        <c:scaling>
          <c:orientation val="minMax"/>
        </c:scaling>
        <c:delete val="0"/>
        <c:axPos val="b"/>
        <c:majorGridlines>
          <c:spPr>
            <a:ln>
              <a:solidFill>
                <a:schemeClr val="bg1"/>
              </a:solidFill>
            </a:ln>
          </c:spPr>
        </c:majorGridlines>
        <c:minorGridlines>
          <c:spPr>
            <a:ln>
              <a:solidFill>
                <a:schemeClr val="bg1"/>
              </a:solidFill>
            </a:ln>
          </c:spPr>
        </c:minorGridlines>
        <c:numFmt formatCode="General" sourceLinked="0"/>
        <c:majorTickMark val="out"/>
        <c:minorTickMark val="none"/>
        <c:tickLblPos val="nextTo"/>
        <c:spPr>
          <a:ln>
            <a:solidFill>
              <a:schemeClr val="bg1"/>
            </a:solidFill>
          </a:ln>
        </c:spPr>
        <c:txPr>
          <a:bodyPr/>
          <a:lstStyle/>
          <a:p>
            <a:pPr>
              <a:defRPr sz="800" b="1"/>
            </a:pPr>
            <a:endParaRPr lang="it-IT"/>
          </a:p>
        </c:txPr>
        <c:crossAx val="165345312"/>
        <c:crosses val="autoZero"/>
        <c:auto val="1"/>
        <c:lblAlgn val="ctr"/>
        <c:lblOffset val="100"/>
        <c:tickLblSkip val="2"/>
        <c:noMultiLvlLbl val="0"/>
      </c:catAx>
      <c:valAx>
        <c:axId val="165345312"/>
        <c:scaling>
          <c:orientation val="minMax"/>
          <c:max val="50"/>
          <c:min val="0"/>
        </c:scaling>
        <c:delete val="0"/>
        <c:axPos val="l"/>
        <c:majorGridlines>
          <c:spPr>
            <a:ln w="9525">
              <a:solidFill>
                <a:schemeClr val="bg1"/>
              </a:solidFill>
            </a:ln>
          </c:spPr>
        </c:majorGridlines>
        <c:numFmt formatCode="#,##0" sourceLinked="0"/>
        <c:majorTickMark val="out"/>
        <c:minorTickMark val="none"/>
        <c:tickLblPos val="nextTo"/>
        <c:spPr>
          <a:ln>
            <a:solidFill>
              <a:schemeClr val="bg1"/>
            </a:solidFill>
          </a:ln>
        </c:spPr>
        <c:txPr>
          <a:bodyPr/>
          <a:lstStyle/>
          <a:p>
            <a:pPr>
              <a:defRPr sz="800"/>
            </a:pPr>
            <a:endParaRPr lang="it-IT"/>
          </a:p>
        </c:txPr>
        <c:crossAx val="165344752"/>
        <c:crosses val="autoZero"/>
        <c:crossBetween val="between"/>
      </c:valAx>
      <c:spPr>
        <a:noFill/>
      </c:spPr>
    </c:plotArea>
    <c:legend>
      <c:legendPos val="t"/>
      <c:layout>
        <c:manualLayout>
          <c:xMode val="edge"/>
          <c:yMode val="edge"/>
          <c:x val="3.376528299972379E-2"/>
          <c:y val="1.7638888888888888E-2"/>
          <c:w val="0.96623471700027608"/>
          <c:h val="9.4592129629629623E-2"/>
        </c:manualLayout>
      </c:layout>
      <c:overlay val="0"/>
      <c:txPr>
        <a:bodyPr/>
        <a:lstStyle/>
        <a:p>
          <a:pPr>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44456438912878E-2"/>
          <c:y val="0.17824212962962963"/>
          <c:w val="0.88872253619507235"/>
          <c:h val="0.41483657407407404"/>
        </c:manualLayout>
      </c:layout>
      <c:barChart>
        <c:barDir val="col"/>
        <c:grouping val="percentStacked"/>
        <c:varyColors val="0"/>
        <c:ser>
          <c:idx val="0"/>
          <c:order val="0"/>
          <c:tx>
            <c:strRef>
              <c:f>'Fig. 5 Unioni per sesso e reg'!$O$5</c:f>
              <c:strCache>
                <c:ptCount val="1"/>
                <c:pt idx="0">
                  <c:v>Unioni civili di
uomini</c:v>
                </c:pt>
              </c:strCache>
            </c:strRef>
          </c:tx>
          <c:spPr>
            <a:solidFill>
              <a:srgbClr val="1F497D"/>
            </a:solidFill>
            <a:ln w="25400">
              <a:noFill/>
            </a:ln>
          </c:spPr>
          <c:invertIfNegative val="0"/>
          <c:cat>
            <c:strRef>
              <c:f>'Fig. 5 Unioni per sesso e reg'!$A$7:$A$28</c:f>
              <c:strCache>
                <c:ptCount val="22"/>
                <c:pt idx="0">
                  <c:v>Piemonte</c:v>
                </c:pt>
                <c:pt idx="1">
                  <c:v>Valle d'Aosta-Vallée d'Aoste</c:v>
                </c:pt>
                <c:pt idx="2">
                  <c:v>Liguria</c:v>
                </c:pt>
                <c:pt idx="3">
                  <c:v>Lombardia</c:v>
                </c:pt>
                <c:pt idx="4">
                  <c:v>Bolzano</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pt idx="21">
                  <c:v>Italia</c:v>
                </c:pt>
              </c:strCache>
            </c:strRef>
          </c:cat>
          <c:val>
            <c:numRef>
              <c:f>'Fig. 5 Unioni per sesso e reg'!$O$7:$O$28</c:f>
              <c:numCache>
                <c:formatCode>#,##0.0</c:formatCode>
                <c:ptCount val="22"/>
                <c:pt idx="0">
                  <c:v>59.523809523809526</c:v>
                </c:pt>
                <c:pt idx="1">
                  <c:v>0</c:v>
                </c:pt>
                <c:pt idx="2">
                  <c:v>42.857142857142854</c:v>
                </c:pt>
                <c:pt idx="3">
                  <c:v>66.850828729281758</c:v>
                </c:pt>
                <c:pt idx="4">
                  <c:v>38.461538461538467</c:v>
                </c:pt>
                <c:pt idx="5">
                  <c:v>87.5</c:v>
                </c:pt>
                <c:pt idx="6">
                  <c:v>59.649122807017541</c:v>
                </c:pt>
                <c:pt idx="7">
                  <c:v>55.555555555555557</c:v>
                </c:pt>
                <c:pt idx="8">
                  <c:v>57.51633986928104</c:v>
                </c:pt>
                <c:pt idx="9">
                  <c:v>57.638888888888886</c:v>
                </c:pt>
                <c:pt idx="10">
                  <c:v>61.904761904761905</c:v>
                </c:pt>
                <c:pt idx="11">
                  <c:v>64</c:v>
                </c:pt>
                <c:pt idx="12">
                  <c:v>68.093385214007782</c:v>
                </c:pt>
                <c:pt idx="13">
                  <c:v>77.272727272727266</c:v>
                </c:pt>
                <c:pt idx="14">
                  <c:v>0</c:v>
                </c:pt>
                <c:pt idx="15">
                  <c:v>69.354838709677423</c:v>
                </c:pt>
                <c:pt idx="16">
                  <c:v>58.620689655172406</c:v>
                </c:pt>
                <c:pt idx="17">
                  <c:v>100</c:v>
                </c:pt>
                <c:pt idx="18">
                  <c:v>66.666666666666657</c:v>
                </c:pt>
                <c:pt idx="19">
                  <c:v>56.338028169014088</c:v>
                </c:pt>
                <c:pt idx="20">
                  <c:v>70</c:v>
                </c:pt>
                <c:pt idx="21">
                  <c:v>62.443144899285251</c:v>
                </c:pt>
              </c:numCache>
            </c:numRef>
          </c:val>
          <c:extLst xmlns:c16r2="http://schemas.microsoft.com/office/drawing/2015/06/chart">
            <c:ext xmlns:c16="http://schemas.microsoft.com/office/drawing/2014/chart" uri="{C3380CC4-5D6E-409C-BE32-E72D297353CC}">
              <c16:uniqueId val="{00000000-21B6-45F5-93EC-7A6248E2676C}"/>
            </c:ext>
          </c:extLst>
        </c:ser>
        <c:ser>
          <c:idx val="1"/>
          <c:order val="1"/>
          <c:tx>
            <c:strRef>
              <c:f>'Fig. 5 Unioni per sesso e reg'!$P$5</c:f>
              <c:strCache>
                <c:ptCount val="1"/>
                <c:pt idx="0">
                  <c:v>Unioni civili di
donne</c:v>
                </c:pt>
              </c:strCache>
            </c:strRef>
          </c:tx>
          <c:spPr>
            <a:solidFill>
              <a:srgbClr val="9BBB57"/>
            </a:solidFill>
            <a:ln w="25400">
              <a:noFill/>
            </a:ln>
          </c:spPr>
          <c:invertIfNegative val="0"/>
          <c:cat>
            <c:strRef>
              <c:f>'Fig. 5 Unioni per sesso e reg'!$A$7:$A$28</c:f>
              <c:strCache>
                <c:ptCount val="22"/>
                <c:pt idx="0">
                  <c:v>Piemonte</c:v>
                </c:pt>
                <c:pt idx="1">
                  <c:v>Valle d'Aosta-Vallée d'Aoste</c:v>
                </c:pt>
                <c:pt idx="2">
                  <c:v>Liguria</c:v>
                </c:pt>
                <c:pt idx="3">
                  <c:v>Lombardia</c:v>
                </c:pt>
                <c:pt idx="4">
                  <c:v>Bolzano</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pt idx="21">
                  <c:v>Italia</c:v>
                </c:pt>
              </c:strCache>
            </c:strRef>
          </c:cat>
          <c:val>
            <c:numRef>
              <c:f>'Fig. 5 Unioni per sesso e reg'!$P$7:$P$28</c:f>
              <c:numCache>
                <c:formatCode>#,##0.0</c:formatCode>
                <c:ptCount val="22"/>
                <c:pt idx="0">
                  <c:v>40.476190476190474</c:v>
                </c:pt>
                <c:pt idx="1">
                  <c:v>100</c:v>
                </c:pt>
                <c:pt idx="2">
                  <c:v>57.142857142857139</c:v>
                </c:pt>
                <c:pt idx="3">
                  <c:v>33.149171270718227</c:v>
                </c:pt>
                <c:pt idx="4">
                  <c:v>61.53846153846154</c:v>
                </c:pt>
                <c:pt idx="5">
                  <c:v>12.5</c:v>
                </c:pt>
                <c:pt idx="6">
                  <c:v>40.350877192982452</c:v>
                </c:pt>
                <c:pt idx="7">
                  <c:v>44.444444444444443</c:v>
                </c:pt>
                <c:pt idx="8">
                  <c:v>42.483660130718953</c:v>
                </c:pt>
                <c:pt idx="9">
                  <c:v>42.361111111111107</c:v>
                </c:pt>
                <c:pt idx="10">
                  <c:v>38.095238095238095</c:v>
                </c:pt>
                <c:pt idx="11">
                  <c:v>36</c:v>
                </c:pt>
                <c:pt idx="12">
                  <c:v>31.906614785992215</c:v>
                </c:pt>
                <c:pt idx="13">
                  <c:v>22.727272727272727</c:v>
                </c:pt>
                <c:pt idx="14">
                  <c:v>100</c:v>
                </c:pt>
                <c:pt idx="15">
                  <c:v>30.64516129032258</c:v>
                </c:pt>
                <c:pt idx="16">
                  <c:v>41.379310344827587</c:v>
                </c:pt>
                <c:pt idx="17">
                  <c:v>0</c:v>
                </c:pt>
                <c:pt idx="18">
                  <c:v>33.333333333333329</c:v>
                </c:pt>
                <c:pt idx="19">
                  <c:v>43.661971830985912</c:v>
                </c:pt>
                <c:pt idx="20">
                  <c:v>30</c:v>
                </c:pt>
                <c:pt idx="21">
                  <c:v>37.556855100714749</c:v>
                </c:pt>
              </c:numCache>
            </c:numRef>
          </c:val>
          <c:extLst xmlns:c16r2="http://schemas.microsoft.com/office/drawing/2015/06/chart">
            <c:ext xmlns:c16="http://schemas.microsoft.com/office/drawing/2014/chart" uri="{C3380CC4-5D6E-409C-BE32-E72D297353CC}">
              <c16:uniqueId val="{00000001-21B6-45F5-93EC-7A6248E2676C}"/>
            </c:ext>
          </c:extLst>
        </c:ser>
        <c:dLbls>
          <c:showLegendKey val="0"/>
          <c:showVal val="0"/>
          <c:showCatName val="0"/>
          <c:showSerName val="0"/>
          <c:showPercent val="0"/>
          <c:showBubbleSize val="0"/>
        </c:dLbls>
        <c:gapWidth val="80"/>
        <c:overlap val="100"/>
        <c:axId val="115534416"/>
        <c:axId val="115534976"/>
      </c:barChart>
      <c:lineChart>
        <c:grouping val="standard"/>
        <c:varyColors val="0"/>
        <c:ser>
          <c:idx val="2"/>
          <c:order val="2"/>
          <c:tx>
            <c:strRef>
              <c:f>'Fig. 5 Unioni per sesso e reg'!$R$5</c:f>
              <c:strCache>
                <c:ptCount val="1"/>
                <c:pt idx="0">
                  <c:v>Unioni civili (per 100.000 residenti) (scala di dx)</c:v>
                </c:pt>
              </c:strCache>
            </c:strRef>
          </c:tx>
          <c:spPr>
            <a:ln w="28575">
              <a:noFill/>
            </a:ln>
          </c:spPr>
          <c:marker>
            <c:spPr>
              <a:solidFill>
                <a:srgbClr val="E42618"/>
              </a:solidFill>
              <a:ln>
                <a:solidFill>
                  <a:srgbClr val="E42618"/>
                </a:solidFill>
              </a:ln>
            </c:spPr>
          </c:marker>
          <c:cat>
            <c:multiLvlStrRef>
              <c:f>'[3]Figura 7'!$A$3:$A$24</c:f>
            </c:multiLvlStrRef>
          </c:cat>
          <c:val>
            <c:numRef>
              <c:f>'Fig. 5 Unioni per sesso e reg'!$R$7:$R$28</c:f>
              <c:numCache>
                <c:formatCode>#,##0.0</c:formatCode>
                <c:ptCount val="22"/>
                <c:pt idx="0">
                  <c:v>2.9349551056688661</c:v>
                </c:pt>
                <c:pt idx="1">
                  <c:v>1.6056325590170317</c:v>
                </c:pt>
                <c:pt idx="2">
                  <c:v>3.2201663905976399</c:v>
                </c:pt>
                <c:pt idx="3">
                  <c:v>3.6183435223354747</c:v>
                </c:pt>
                <c:pt idx="4">
                  <c:v>2.4354694273649344</c:v>
                </c:pt>
                <c:pt idx="5">
                  <c:v>2.9422825308410974</c:v>
                </c:pt>
                <c:pt idx="6">
                  <c:v>2.3387102812883791</c:v>
                </c:pt>
                <c:pt idx="7">
                  <c:v>1.4951867446711129</c:v>
                </c:pt>
                <c:pt idx="8">
                  <c:v>3.437022074218111</c:v>
                </c:pt>
                <c:pt idx="9">
                  <c:v>3.8995751087954371</c:v>
                </c:pt>
                <c:pt idx="10">
                  <c:v>2.4198887196887329</c:v>
                </c:pt>
                <c:pt idx="11">
                  <c:v>1.660628621000708</c:v>
                </c:pt>
                <c:pt idx="12">
                  <c:v>4.4749744887276357</c:v>
                </c:pt>
                <c:pt idx="13">
                  <c:v>1.7087690532603896</c:v>
                </c:pt>
                <c:pt idx="14">
                  <c:v>0.67248365024125345</c:v>
                </c:pt>
                <c:pt idx="15">
                  <c:v>1.0938213823203005</c:v>
                </c:pt>
                <c:pt idx="16">
                  <c:v>1.4707594012589194</c:v>
                </c:pt>
                <c:pt idx="17">
                  <c:v>0.18208568223863422</c:v>
                </c:pt>
                <c:pt idx="18">
                  <c:v>0.15979924952945779</c:v>
                </c:pt>
                <c:pt idx="19">
                  <c:v>1.4625612640649213</c:v>
                </c:pt>
                <c:pt idx="20">
                  <c:v>1.2493499476053866</c:v>
                </c:pt>
                <c:pt idx="21">
                  <c:v>2.5892156174857384</c:v>
                </c:pt>
              </c:numCache>
            </c:numRef>
          </c:val>
          <c:smooth val="0"/>
          <c:extLst xmlns:c16r2="http://schemas.microsoft.com/office/drawing/2015/06/chart">
            <c:ext xmlns:c16="http://schemas.microsoft.com/office/drawing/2014/chart" uri="{C3380CC4-5D6E-409C-BE32-E72D297353CC}">
              <c16:uniqueId val="{00000002-21B6-45F5-93EC-7A6248E2676C}"/>
            </c:ext>
          </c:extLst>
        </c:ser>
        <c:dLbls>
          <c:showLegendKey val="0"/>
          <c:showVal val="0"/>
          <c:showCatName val="0"/>
          <c:showSerName val="0"/>
          <c:showPercent val="0"/>
          <c:showBubbleSize val="0"/>
        </c:dLbls>
        <c:marker val="1"/>
        <c:smooth val="0"/>
        <c:axId val="115536096"/>
        <c:axId val="115535536"/>
      </c:lineChart>
      <c:catAx>
        <c:axId val="115534416"/>
        <c:scaling>
          <c:orientation val="minMax"/>
        </c:scaling>
        <c:delete val="0"/>
        <c:axPos val="b"/>
        <c:majorGridlines>
          <c:spPr>
            <a:ln>
              <a:solidFill>
                <a:schemeClr val="bg1"/>
              </a:solidFill>
            </a:ln>
          </c:spPr>
        </c:majorGridlines>
        <c:minorGridlines>
          <c:spPr>
            <a:ln>
              <a:solidFill>
                <a:schemeClr val="bg1"/>
              </a:solidFill>
            </a:ln>
          </c:spPr>
        </c:minorGridlines>
        <c:numFmt formatCode="General" sourceLinked="0"/>
        <c:majorTickMark val="none"/>
        <c:minorTickMark val="none"/>
        <c:tickLblPos val="nextTo"/>
        <c:spPr>
          <a:ln>
            <a:solidFill>
              <a:schemeClr val="bg1"/>
            </a:solidFill>
          </a:ln>
        </c:spPr>
        <c:txPr>
          <a:bodyPr rot="-5400000" vert="horz"/>
          <a:lstStyle/>
          <a:p>
            <a:pPr>
              <a:defRPr sz="800" b="1"/>
            </a:pPr>
            <a:endParaRPr lang="it-IT"/>
          </a:p>
        </c:txPr>
        <c:crossAx val="115534976"/>
        <c:crosses val="autoZero"/>
        <c:auto val="1"/>
        <c:lblAlgn val="ctr"/>
        <c:lblOffset val="100"/>
        <c:noMultiLvlLbl val="0"/>
      </c:catAx>
      <c:valAx>
        <c:axId val="115534976"/>
        <c:scaling>
          <c:orientation val="minMax"/>
          <c:max val="1"/>
          <c:min val="0"/>
        </c:scaling>
        <c:delete val="0"/>
        <c:axPos val="l"/>
        <c:majorGridlines>
          <c:spPr>
            <a:ln w="9525">
              <a:solidFill>
                <a:schemeClr val="bg1"/>
              </a:solidFill>
            </a:ln>
          </c:spPr>
        </c:majorGridlines>
        <c:numFmt formatCode="0%" sourceLinked="1"/>
        <c:majorTickMark val="none"/>
        <c:minorTickMark val="none"/>
        <c:tickLblPos val="nextTo"/>
        <c:spPr>
          <a:ln>
            <a:solidFill>
              <a:schemeClr val="bg1"/>
            </a:solidFill>
          </a:ln>
        </c:spPr>
        <c:txPr>
          <a:bodyPr/>
          <a:lstStyle/>
          <a:p>
            <a:pPr>
              <a:defRPr sz="800"/>
            </a:pPr>
            <a:endParaRPr lang="it-IT"/>
          </a:p>
        </c:txPr>
        <c:crossAx val="115534416"/>
        <c:crosses val="autoZero"/>
        <c:crossBetween val="between"/>
        <c:majorUnit val="0.2"/>
      </c:valAx>
      <c:valAx>
        <c:axId val="115535536"/>
        <c:scaling>
          <c:orientation val="minMax"/>
          <c:max val="10"/>
          <c:min val="0"/>
        </c:scaling>
        <c:delete val="0"/>
        <c:axPos val="r"/>
        <c:majorGridlines>
          <c:spPr>
            <a:ln>
              <a:solidFill>
                <a:schemeClr val="bg1"/>
              </a:solidFill>
            </a:ln>
          </c:spPr>
        </c:majorGridlines>
        <c:numFmt formatCode="#,##0" sourceLinked="0"/>
        <c:majorTickMark val="none"/>
        <c:minorTickMark val="none"/>
        <c:tickLblPos val="nextTo"/>
        <c:spPr>
          <a:ln>
            <a:solidFill>
              <a:schemeClr val="bg1"/>
            </a:solidFill>
          </a:ln>
        </c:spPr>
        <c:crossAx val="115536096"/>
        <c:crosses val="max"/>
        <c:crossBetween val="between"/>
        <c:majorUnit val="2"/>
      </c:valAx>
      <c:catAx>
        <c:axId val="115536096"/>
        <c:scaling>
          <c:orientation val="minMax"/>
        </c:scaling>
        <c:delete val="1"/>
        <c:axPos val="b"/>
        <c:numFmt formatCode="General" sourceLinked="1"/>
        <c:majorTickMark val="out"/>
        <c:minorTickMark val="none"/>
        <c:tickLblPos val="nextTo"/>
        <c:crossAx val="115535536"/>
        <c:crosses val="autoZero"/>
        <c:auto val="1"/>
        <c:lblAlgn val="ctr"/>
        <c:lblOffset val="100"/>
        <c:noMultiLvlLbl val="0"/>
      </c:catAx>
      <c:spPr>
        <a:noFill/>
      </c:spPr>
    </c:plotArea>
    <c:legend>
      <c:legendPos val="t"/>
      <c:layout>
        <c:manualLayout>
          <c:xMode val="edge"/>
          <c:yMode val="edge"/>
          <c:x val="0"/>
          <c:y val="1.662049861495845E-2"/>
          <c:w val="1"/>
          <c:h val="0.15071666666666669"/>
        </c:manualLayout>
      </c:layout>
      <c:overlay val="0"/>
      <c:txPr>
        <a:bodyPr/>
        <a:lstStyle/>
        <a:p>
          <a:pPr>
            <a:defRPr sz="800"/>
          </a:pPr>
          <a:endParaRPr lang="it-IT"/>
        </a:p>
      </c:txPr>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258730158730157E-2"/>
          <c:y val="0.30161367666879479"/>
          <c:w val="0.9363166953528399"/>
          <c:h val="0.62445172731786902"/>
        </c:manualLayout>
      </c:layout>
      <c:barChart>
        <c:barDir val="col"/>
        <c:grouping val="stacked"/>
        <c:varyColors val="0"/>
        <c:ser>
          <c:idx val="0"/>
          <c:order val="2"/>
          <c:tx>
            <c:strRef>
              <c:f>'Fig. 8 sepdiv tipo accordo'!$D$2</c:f>
              <c:strCache>
                <c:ptCount val="1"/>
                <c:pt idx="0">
                  <c:v>Separazioni giudiziali presso i Tribunali</c:v>
                </c:pt>
              </c:strCache>
            </c:strRef>
          </c:tx>
          <c:spPr>
            <a:solidFill>
              <a:srgbClr val="E42618"/>
            </a:solidFill>
          </c:spPr>
          <c:invertIfNegative val="0"/>
          <c:cat>
            <c:strRef>
              <c:f>'Fig. 8 sepdiv tipo accordo'!$A$3:$A$13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accordo'!$D$3:$D$13</c:f>
              <c:numCache>
                <c:formatCode>_-* #,##0_-;\-* #,##0_-;_-* "-"??_-;_-@_-</c:formatCode>
                <c:ptCount val="11"/>
                <c:pt idx="0">
                  <c:v>12788</c:v>
                </c:pt>
                <c:pt idx="1">
                  <c:v>13541</c:v>
                </c:pt>
                <c:pt idx="2">
                  <c:v>12870</c:v>
                </c:pt>
                <c:pt idx="3">
                  <c:v>14260</c:v>
                </c:pt>
                <c:pt idx="4">
                  <c:v>14118</c:v>
                </c:pt>
                <c:pt idx="5">
                  <c:v>16323</c:v>
                </c:pt>
                <c:pt idx="6">
                  <c:v>16385</c:v>
                </c:pt>
                <c:pt idx="7">
                  <c:v>14309</c:v>
                </c:pt>
                <c:pt idx="8">
                  <c:v>14414</c:v>
                </c:pt>
                <c:pt idx="9">
                  <c:v>14581</c:v>
                </c:pt>
                <c:pt idx="10">
                  <c:v>11718</c:v>
                </c:pt>
              </c:numCache>
            </c:numRef>
          </c:val>
          <c:extLst xmlns:c16r2="http://schemas.microsoft.com/office/drawing/2015/06/chart">
            <c:ext xmlns:c16="http://schemas.microsoft.com/office/drawing/2014/chart" uri="{C3380CC4-5D6E-409C-BE32-E72D297353CC}">
              <c16:uniqueId val="{00000000-D546-4630-8C1A-28EFF22D45B8}"/>
            </c:ext>
          </c:extLst>
        </c:ser>
        <c:ser>
          <c:idx val="3"/>
          <c:order val="3"/>
          <c:tx>
            <c:strRef>
              <c:f>'Fig. 8 sepdiv tipo accordo'!$E$2</c:f>
              <c:strCache>
                <c:ptCount val="1"/>
                <c:pt idx="0">
                  <c:v>Separazioni consensuali presso i Tribunali</c:v>
                </c:pt>
              </c:strCache>
            </c:strRef>
          </c:tx>
          <c:spPr>
            <a:solidFill>
              <a:srgbClr val="9BBB59"/>
            </a:solidFill>
          </c:spPr>
          <c:invertIfNegative val="0"/>
          <c:cat>
            <c:strRef>
              <c:f>'Fig. 8 sepdiv tipo accordo'!$A$3:$A$13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accordo'!$E$3:$E$13</c:f>
              <c:numCache>
                <c:formatCode>_-* #,##0_-;\-* #,##0_-;_-* "-"??_-;_-@_-</c:formatCode>
                <c:ptCount val="11"/>
                <c:pt idx="0">
                  <c:v>75403</c:v>
                </c:pt>
                <c:pt idx="1">
                  <c:v>75256</c:v>
                </c:pt>
                <c:pt idx="2">
                  <c:v>75418</c:v>
                </c:pt>
                <c:pt idx="3">
                  <c:v>74626</c:v>
                </c:pt>
                <c:pt idx="4">
                  <c:v>75185</c:v>
                </c:pt>
                <c:pt idx="5">
                  <c:v>57715</c:v>
                </c:pt>
                <c:pt idx="6">
                  <c:v>61929</c:v>
                </c:pt>
                <c:pt idx="7">
                  <c:v>62060</c:v>
                </c:pt>
                <c:pt idx="8">
                  <c:v>62424</c:v>
                </c:pt>
                <c:pt idx="9">
                  <c:v>59310</c:v>
                </c:pt>
                <c:pt idx="10">
                  <c:v>46844</c:v>
                </c:pt>
              </c:numCache>
            </c:numRef>
          </c:val>
          <c:extLst xmlns:c16r2="http://schemas.microsoft.com/office/drawing/2015/06/chart">
            <c:ext xmlns:c16="http://schemas.microsoft.com/office/drawing/2014/chart" uri="{C3380CC4-5D6E-409C-BE32-E72D297353CC}">
              <c16:uniqueId val="{00000001-D546-4630-8C1A-28EFF22D45B8}"/>
            </c:ext>
          </c:extLst>
        </c:ser>
        <c:ser>
          <c:idx val="4"/>
          <c:order val="4"/>
          <c:tx>
            <c:strRef>
              <c:f>'Fig. 8 sepdiv tipo accordo'!$F$2</c:f>
              <c:strCache>
                <c:ptCount val="1"/>
                <c:pt idx="0">
                  <c:v>Separazioni consensuali con negoziazioni assistite da avvocati (ex art.6)</c:v>
                </c:pt>
              </c:strCache>
            </c:strRef>
          </c:tx>
          <c:spPr>
            <a:solidFill>
              <a:srgbClr val="1F497D"/>
            </a:solidFill>
            <a:ln>
              <a:noFill/>
            </a:ln>
          </c:spPr>
          <c:invertIfNegative val="0"/>
          <c:cat>
            <c:strRef>
              <c:f>'Fig. 8 sepdiv tipo accordo'!$A$3:$A$13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accordo'!$F$3:$F$13</c:f>
              <c:numCache>
                <c:formatCode>General</c:formatCode>
                <c:ptCount val="11"/>
                <c:pt idx="5" formatCode="_-* #,##0_-;\-* #,##0_-;_-* &quot;-&quot;??_-;_-@_-">
                  <c:v>5688</c:v>
                </c:pt>
                <c:pt idx="6" formatCode="_-* #,##0_-;\-* #,##0_-;_-* &quot;-&quot;??_-;_-@_-">
                  <c:v>7305</c:v>
                </c:pt>
                <c:pt idx="7" formatCode="_-* #,##0_-;\-* #,##0_-;_-* &quot;-&quot;??_-;_-@_-">
                  <c:v>8280</c:v>
                </c:pt>
                <c:pt idx="8" formatCode="_-* #,##0_-;\-* #,##0_-;_-* &quot;-&quot;??_-;_-@_-">
                  <c:v>8222</c:v>
                </c:pt>
                <c:pt idx="9" formatCode="_-* #,##0_-;\-* #,##0_-;_-* &quot;-&quot;??_-;_-@_-">
                  <c:v>8890</c:v>
                </c:pt>
                <c:pt idx="10" formatCode="_-* #,##0_-;\-* #,##0_-;_-* &quot;-&quot;??_-;_-@_-">
                  <c:v>9178</c:v>
                </c:pt>
              </c:numCache>
            </c:numRef>
          </c:val>
          <c:extLst xmlns:c16r2="http://schemas.microsoft.com/office/drawing/2015/06/chart">
            <c:ext xmlns:c16="http://schemas.microsoft.com/office/drawing/2014/chart" uri="{C3380CC4-5D6E-409C-BE32-E72D297353CC}">
              <c16:uniqueId val="{00000002-D546-4630-8C1A-28EFF22D45B8}"/>
            </c:ext>
          </c:extLst>
        </c:ser>
        <c:ser>
          <c:idx val="5"/>
          <c:order val="5"/>
          <c:tx>
            <c:strRef>
              <c:f>'Fig. 8 sepdiv tipo accordo'!$G$2</c:f>
              <c:strCache>
                <c:ptCount val="1"/>
                <c:pt idx="0">
                  <c:v>Separazioni consensuali presso lo stato civile (ex art.12)</c:v>
                </c:pt>
              </c:strCache>
            </c:strRef>
          </c:tx>
          <c:spPr>
            <a:solidFill>
              <a:srgbClr val="CC6600"/>
            </a:solidFill>
          </c:spPr>
          <c:invertIfNegative val="0"/>
          <c:cat>
            <c:strRef>
              <c:f>'Fig. 8 sepdiv tipo accordo'!$A$3:$A$13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accordo'!$G$3:$G$13</c:f>
              <c:numCache>
                <c:formatCode>General</c:formatCode>
                <c:ptCount val="11"/>
                <c:pt idx="5" formatCode="_-* #,##0_-;\-* #,##0_-;_-* &quot;-&quot;??_-;_-@_-">
                  <c:v>11980</c:v>
                </c:pt>
                <c:pt idx="6" formatCode="_-* #,##0_-;\-* #,##0_-;_-* &quot;-&quot;??_-;_-@_-">
                  <c:v>13992</c:v>
                </c:pt>
                <c:pt idx="7" formatCode="_-* #,##0_-;\-* #,##0_-;_-* &quot;-&quot;??_-;_-@_-">
                  <c:v>13812</c:v>
                </c:pt>
                <c:pt idx="8" formatCode="_-* #,##0_-;\-* #,##0_-;_-* &quot;-&quot;??_-;_-@_-">
                  <c:v>13865</c:v>
                </c:pt>
                <c:pt idx="9" formatCode="_-* #,##0_-;\-* #,##0_-;_-* &quot;-&quot;??_-;_-@_-">
                  <c:v>14693</c:v>
                </c:pt>
                <c:pt idx="10" formatCode="_-* #,##0_-;\-* #,##0_-;_-* &quot;-&quot;??_-;_-@_-">
                  <c:v>12177</c:v>
                </c:pt>
              </c:numCache>
            </c:numRef>
          </c:val>
          <c:extLst xmlns:c16r2="http://schemas.microsoft.com/office/drawing/2015/06/chart">
            <c:ext xmlns:c16="http://schemas.microsoft.com/office/drawing/2014/chart" uri="{C3380CC4-5D6E-409C-BE32-E72D297353CC}">
              <c16:uniqueId val="{00000003-D546-4630-8C1A-28EFF22D45B8}"/>
            </c:ext>
          </c:extLst>
        </c:ser>
        <c:dLbls>
          <c:showLegendKey val="0"/>
          <c:showVal val="0"/>
          <c:showCatName val="0"/>
          <c:showSerName val="0"/>
          <c:showPercent val="0"/>
          <c:showBubbleSize val="0"/>
        </c:dLbls>
        <c:gapWidth val="40"/>
        <c:overlap val="100"/>
        <c:axId val="115539456"/>
        <c:axId val="115540016"/>
        <c:extLst xmlns:c16r2="http://schemas.microsoft.com/office/drawing/2015/06/chart">
          <c:ext xmlns:c15="http://schemas.microsoft.com/office/drawing/2012/chart" uri="{02D57815-91ED-43cb-92C2-25804820EDAC}">
            <c15:filteredBarSeries>
              <c15:ser>
                <c:idx val="2"/>
                <c:order val="0"/>
                <c:tx>
                  <c:strRef>
                    <c:extLst xmlns:c16r2="http://schemas.microsoft.com/office/drawing/2015/06/chart">
                      <c:ext uri="{02D57815-91ED-43cb-92C2-25804820EDAC}">
                        <c15:formulaRef>
                          <c15:sqref>'Fig. 8 sepdiv tipo accordo'!$B$2</c15:sqref>
                        </c15:formulaRef>
                      </c:ext>
                    </c:extLst>
                    <c:strCache>
                      <c:ptCount val="1"/>
                      <c:pt idx="0">
                        <c:v>Separazioni</c:v>
                      </c:pt>
                    </c:strCache>
                  </c:strRef>
                </c:tx>
                <c:spPr>
                  <a:solidFill>
                    <a:srgbClr val="002060"/>
                  </a:solidFill>
                </c:spPr>
                <c:invertIfNegative val="0"/>
                <c:cat>
                  <c:strRef>
                    <c:extLst xmlns:c16r2="http://schemas.microsoft.com/office/drawing/2015/06/chart">
                      <c:ext uri="{02D57815-91ED-43cb-92C2-25804820EDAC}">
                        <c15:formulaRef>
                          <c15:sqref>'Fig. 8 sepdiv tipo accordo'!$A$3:$A$13</c15:sqref>
                        </c15:formulaRef>
                      </c:ext>
                    </c:extLst>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extLst xmlns:c16r2="http://schemas.microsoft.com/office/drawing/2015/06/chart">
                      <c:ext uri="{02D57815-91ED-43cb-92C2-25804820EDAC}">
                        <c15:formulaRef>
                          <c15:sqref>'Fig. 8 sepdiv tipo accordo'!$B$3:$B$13</c15:sqref>
                        </c15:formulaRef>
                      </c:ext>
                    </c:extLst>
                    <c:numCache>
                      <c:formatCode>_-* #,##0_-;\-* #,##0_-;_-* "-"??_-;_-@_-</c:formatCode>
                      <c:ptCount val="11"/>
                      <c:pt idx="0">
                        <c:v>88191</c:v>
                      </c:pt>
                      <c:pt idx="1">
                        <c:v>88797</c:v>
                      </c:pt>
                      <c:pt idx="2">
                        <c:v>88288</c:v>
                      </c:pt>
                      <c:pt idx="3">
                        <c:v>88886</c:v>
                      </c:pt>
                      <c:pt idx="4">
                        <c:v>89303</c:v>
                      </c:pt>
                      <c:pt idx="5">
                        <c:v>91706</c:v>
                      </c:pt>
                      <c:pt idx="6">
                        <c:v>99611</c:v>
                      </c:pt>
                      <c:pt idx="7">
                        <c:v>98461</c:v>
                      </c:pt>
                      <c:pt idx="8">
                        <c:v>98925</c:v>
                      </c:pt>
                      <c:pt idx="9">
                        <c:v>97474</c:v>
                      </c:pt>
                      <c:pt idx="10">
                        <c:v>79917</c:v>
                      </c:pt>
                    </c:numCache>
                  </c:numRef>
                </c:val>
                <c:extLst xmlns:c16r2="http://schemas.microsoft.com/office/drawing/2015/06/chart">
                  <c:ext xmlns:c16="http://schemas.microsoft.com/office/drawing/2014/chart" uri="{C3380CC4-5D6E-409C-BE32-E72D297353CC}">
                    <c16:uniqueId val="{00000004-D546-4630-8C1A-28EFF22D45B8}"/>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'Fig. 8 sepdiv tipo accordo'!$C$2</c15:sqref>
                        </c15:formulaRef>
                      </c:ext>
                    </c:extLst>
                    <c:strCache>
                      <c:ptCount val="1"/>
                      <c:pt idx="0">
                        <c:v>Separazioni consensuali</c:v>
                      </c:pt>
                    </c:strCache>
                  </c:strRef>
                </c:tx>
                <c:spPr>
                  <a:solidFill>
                    <a:srgbClr val="FF0000"/>
                  </a:solidFill>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'Fig. 8 sepdiv tipo accordo'!$A$3:$A$13</c15:sqref>
                        </c15:formulaRef>
                      </c:ext>
                    </c:extLst>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'Fig. 8 sepdiv tipo accordo'!$C$3:$C$13</c15:sqref>
                        </c15:formulaRef>
                      </c:ext>
                    </c:extLst>
                    <c:numCache>
                      <c:formatCode>_-* #,##0_-;\-* #,##0_-;_-* "-"??_-;_-@_-</c:formatCode>
                      <c:ptCount val="11"/>
                      <c:pt idx="0">
                        <c:v>75403</c:v>
                      </c:pt>
                      <c:pt idx="1">
                        <c:v>75256</c:v>
                      </c:pt>
                      <c:pt idx="2">
                        <c:v>75418</c:v>
                      </c:pt>
                      <c:pt idx="3">
                        <c:v>74626</c:v>
                      </c:pt>
                      <c:pt idx="4">
                        <c:v>75185</c:v>
                      </c:pt>
                      <c:pt idx="5">
                        <c:v>75383</c:v>
                      </c:pt>
                      <c:pt idx="6">
                        <c:v>83226</c:v>
                      </c:pt>
                      <c:pt idx="7">
                        <c:v>84152</c:v>
                      </c:pt>
                      <c:pt idx="8">
                        <c:v>84511</c:v>
                      </c:pt>
                      <c:pt idx="9">
                        <c:v>82893</c:v>
                      </c:pt>
                      <c:pt idx="10">
                        <c:v>68199</c:v>
                      </c:pt>
                    </c:numCache>
                  </c:numRef>
                </c:val>
                <c:extLst xmlns:c15="http://schemas.microsoft.com/office/drawing/2012/chart" xmlns:c16r2="http://schemas.microsoft.com/office/drawing/2015/06/chart">
                  <c:ext xmlns:c16="http://schemas.microsoft.com/office/drawing/2014/chart" uri="{C3380CC4-5D6E-409C-BE32-E72D297353CC}">
                    <c16:uniqueId val="{00000005-D546-4630-8C1A-28EFF22D45B8}"/>
                  </c:ext>
                </c:extLst>
              </c15:ser>
            </c15:filteredBarSeries>
          </c:ext>
        </c:extLst>
      </c:barChart>
      <c:catAx>
        <c:axId val="115539456"/>
        <c:scaling>
          <c:orientation val="minMax"/>
        </c:scaling>
        <c:delete val="0"/>
        <c:axPos val="b"/>
        <c:majorGridlines>
          <c:spPr>
            <a:ln>
              <a:solidFill>
                <a:schemeClr val="bg1"/>
              </a:solidFill>
            </a:ln>
          </c:spPr>
        </c:majorGridlines>
        <c:numFmt formatCode="General" sourceLinked="1"/>
        <c:majorTickMark val="none"/>
        <c:minorTickMark val="none"/>
        <c:tickLblPos val="low"/>
        <c:spPr>
          <a:ln w="12700">
            <a:solidFill>
              <a:schemeClr val="bg1"/>
            </a:solidFill>
            <a:prstDash val="solid"/>
          </a:ln>
        </c:spPr>
        <c:txPr>
          <a:bodyPr rot="-5400000" vert="horz"/>
          <a:lstStyle/>
          <a:p>
            <a:pPr>
              <a:defRPr sz="800" b="1"/>
            </a:pPr>
            <a:endParaRPr lang="it-IT"/>
          </a:p>
        </c:txPr>
        <c:crossAx val="115540016"/>
        <c:crosses val="autoZero"/>
        <c:auto val="1"/>
        <c:lblAlgn val="ctr"/>
        <c:lblOffset val="0"/>
        <c:noMultiLvlLbl val="0"/>
      </c:catAx>
      <c:valAx>
        <c:axId val="115540016"/>
        <c:scaling>
          <c:orientation val="minMax"/>
          <c:max val="100000"/>
          <c:min val="0"/>
        </c:scaling>
        <c:delete val="0"/>
        <c:axPos val="l"/>
        <c:majorGridlines>
          <c:spPr>
            <a:ln>
              <a:solidFill>
                <a:schemeClr val="bg1"/>
              </a:solidFill>
            </a:ln>
          </c:spPr>
        </c:majorGridlines>
        <c:numFmt formatCode="#,##0" sourceLinked="0"/>
        <c:majorTickMark val="none"/>
        <c:minorTickMark val="none"/>
        <c:tickLblPos val="nextTo"/>
        <c:spPr>
          <a:ln w="12700">
            <a:solidFill>
              <a:schemeClr val="bg1"/>
            </a:solidFill>
            <a:prstDash val="solid"/>
          </a:ln>
        </c:spPr>
        <c:txPr>
          <a:bodyPr rot="0" vert="horz"/>
          <a:lstStyle/>
          <a:p>
            <a:pPr>
              <a:defRPr sz="800"/>
            </a:pPr>
            <a:endParaRPr lang="it-IT"/>
          </a:p>
        </c:txPr>
        <c:crossAx val="115539456"/>
        <c:crosses val="autoZero"/>
        <c:crossBetween val="between"/>
        <c:majorUnit val="20000"/>
      </c:valAx>
      <c:spPr>
        <a:noFill/>
        <a:ln w="25400">
          <a:noFill/>
        </a:ln>
      </c:spPr>
    </c:plotArea>
    <c:legend>
      <c:legendPos val="r"/>
      <c:layout>
        <c:manualLayout>
          <c:xMode val="edge"/>
          <c:yMode val="edge"/>
          <c:x val="1.2539184952978056E-2"/>
          <c:y val="2.2174500914658411E-3"/>
          <c:w val="0.98126103169142687"/>
          <c:h val="0.2026022264458322"/>
        </c:manualLayout>
      </c:layout>
      <c:overlay val="0"/>
      <c:spPr>
        <a:noFill/>
        <a:ln w="25400">
          <a:noFill/>
        </a:ln>
      </c:spPr>
      <c:txPr>
        <a:bodyPr/>
        <a:lstStyle/>
        <a:p>
          <a:pPr>
            <a:defRPr sz="800"/>
          </a:pPr>
          <a:endParaRPr lang="it-IT"/>
        </a:p>
      </c:txPr>
    </c:legend>
    <c:plotVisOnly val="1"/>
    <c:dispBlanksAs val="gap"/>
    <c:showDLblsOverMax val="0"/>
  </c:chart>
  <c:spPr>
    <a:no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258730158730157E-2"/>
          <c:y val="0.30161367666879479"/>
          <c:w val="0.9363166953528399"/>
          <c:h val="0.59032520038134251"/>
        </c:manualLayout>
      </c:layout>
      <c:barChart>
        <c:barDir val="col"/>
        <c:grouping val="stacked"/>
        <c:varyColors val="0"/>
        <c:ser>
          <c:idx val="0"/>
          <c:order val="2"/>
          <c:tx>
            <c:strRef>
              <c:f>'Fig. 8 sepdiv tipo accordo'!$K$2</c:f>
              <c:strCache>
                <c:ptCount val="1"/>
                <c:pt idx="0">
                  <c:v>Divorzi giudiziali presso i Tribunali</c:v>
                </c:pt>
              </c:strCache>
            </c:strRef>
          </c:tx>
          <c:spPr>
            <a:solidFill>
              <a:srgbClr val="E42618"/>
            </a:solidFill>
          </c:spPr>
          <c:invertIfNegative val="0"/>
          <c:cat>
            <c:strRef>
              <c:f>'Fig. 8 sepdiv tipo accordo'!$H$3:$H$13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accordo'!$K$3:$K$13</c:f>
              <c:numCache>
                <c:formatCode>_-* #,##0_-;\-* #,##0_-;_-* "-"??_-;_-@_-</c:formatCode>
                <c:ptCount val="11"/>
                <c:pt idx="0">
                  <c:v>14934</c:v>
                </c:pt>
                <c:pt idx="1">
                  <c:v>16490</c:v>
                </c:pt>
                <c:pt idx="2">
                  <c:v>11579</c:v>
                </c:pt>
                <c:pt idx="3">
                  <c:v>12625</c:v>
                </c:pt>
                <c:pt idx="4">
                  <c:v>12625</c:v>
                </c:pt>
                <c:pt idx="5">
                  <c:v>21039</c:v>
                </c:pt>
                <c:pt idx="6">
                  <c:v>21562</c:v>
                </c:pt>
                <c:pt idx="7">
                  <c:v>24501</c:v>
                </c:pt>
                <c:pt idx="8">
                  <c:v>25697</c:v>
                </c:pt>
                <c:pt idx="9">
                  <c:v>25538</c:v>
                </c:pt>
                <c:pt idx="10">
                  <c:v>18872</c:v>
                </c:pt>
              </c:numCache>
            </c:numRef>
          </c:val>
          <c:extLst xmlns:c16r2="http://schemas.microsoft.com/office/drawing/2015/06/chart">
            <c:ext xmlns:c16="http://schemas.microsoft.com/office/drawing/2014/chart" uri="{C3380CC4-5D6E-409C-BE32-E72D297353CC}">
              <c16:uniqueId val="{00000000-CE27-4F65-9F87-FB11811CB246}"/>
            </c:ext>
          </c:extLst>
        </c:ser>
        <c:ser>
          <c:idx val="3"/>
          <c:order val="3"/>
          <c:tx>
            <c:strRef>
              <c:f>'Fig. 8 sepdiv tipo accordo'!$L$2</c:f>
              <c:strCache>
                <c:ptCount val="1"/>
                <c:pt idx="0">
                  <c:v>Divorzi  consensuali presso i Tribunali</c:v>
                </c:pt>
              </c:strCache>
            </c:strRef>
          </c:tx>
          <c:spPr>
            <a:solidFill>
              <a:srgbClr val="9BBB59"/>
            </a:solidFill>
          </c:spPr>
          <c:invertIfNegative val="0"/>
          <c:cat>
            <c:strRef>
              <c:f>'Fig. 8 sepdiv tipo accordo'!$H$3:$H$13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accordo'!$L$3:$L$13</c:f>
              <c:numCache>
                <c:formatCode>_-* #,##0_-;\-* #,##0_-;_-* "-"??_-;_-@_-</c:formatCode>
                <c:ptCount val="11"/>
                <c:pt idx="0">
                  <c:v>39226</c:v>
                </c:pt>
                <c:pt idx="1">
                  <c:v>37316</c:v>
                </c:pt>
                <c:pt idx="2">
                  <c:v>39740</c:v>
                </c:pt>
                <c:pt idx="3">
                  <c:v>40318</c:v>
                </c:pt>
                <c:pt idx="4">
                  <c:v>39730</c:v>
                </c:pt>
                <c:pt idx="5">
                  <c:v>35410</c:v>
                </c:pt>
                <c:pt idx="6">
                  <c:v>42503</c:v>
                </c:pt>
                <c:pt idx="7">
                  <c:v>37740</c:v>
                </c:pt>
                <c:pt idx="8">
                  <c:v>36039</c:v>
                </c:pt>
                <c:pt idx="9">
                  <c:v>32891</c:v>
                </c:pt>
                <c:pt idx="10">
                  <c:v>25982</c:v>
                </c:pt>
              </c:numCache>
            </c:numRef>
          </c:val>
          <c:extLst xmlns:c16r2="http://schemas.microsoft.com/office/drawing/2015/06/chart">
            <c:ext xmlns:c16="http://schemas.microsoft.com/office/drawing/2014/chart" uri="{C3380CC4-5D6E-409C-BE32-E72D297353CC}">
              <c16:uniqueId val="{00000001-CE27-4F65-9F87-FB11811CB246}"/>
            </c:ext>
          </c:extLst>
        </c:ser>
        <c:ser>
          <c:idx val="4"/>
          <c:order val="4"/>
          <c:tx>
            <c:strRef>
              <c:f>'Fig. 8 sepdiv tipo accordo'!$M$2</c:f>
              <c:strCache>
                <c:ptCount val="1"/>
                <c:pt idx="0">
                  <c:v>Divorzi  consensuali con negoziazioni assistite da avvocati (ex art.6)</c:v>
                </c:pt>
              </c:strCache>
            </c:strRef>
          </c:tx>
          <c:spPr>
            <a:solidFill>
              <a:srgbClr val="1F497D"/>
            </a:solidFill>
          </c:spPr>
          <c:invertIfNegative val="0"/>
          <c:cat>
            <c:strRef>
              <c:f>'Fig. 8 sepdiv tipo accordo'!$H$3:$H$13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accordo'!$M$3:$M$13</c:f>
              <c:numCache>
                <c:formatCode>General</c:formatCode>
                <c:ptCount val="11"/>
                <c:pt idx="5" formatCode="_-* #,##0_-;\-* #,##0_-;_-* &quot;-&quot;??_-;_-@_-">
                  <c:v>4998</c:v>
                </c:pt>
                <c:pt idx="6" formatCode="_-* #,##0_-;\-* #,##0_-;_-* &quot;-&quot;??_-;_-@_-">
                  <c:v>7051</c:v>
                </c:pt>
                <c:pt idx="7" formatCode="_-* #,##0_-;\-* #,##0_-;_-* &quot;-&quot;??_-;_-@_-">
                  <c:v>6838</c:v>
                </c:pt>
                <c:pt idx="8" formatCode="_-* #,##0_-;\-* #,##0_-;_-* &quot;-&quot;??_-;_-@_-">
                  <c:v>6519</c:v>
                </c:pt>
                <c:pt idx="9" formatCode="_-* #,##0_-;\-* #,##0_-;_-* &quot;-&quot;??_-;_-@_-">
                  <c:v>6698</c:v>
                </c:pt>
                <c:pt idx="10" formatCode="_-* #,##0_-;\-* #,##0_-;_-* &quot;-&quot;??_-;_-@_-">
                  <c:v>6341</c:v>
                </c:pt>
              </c:numCache>
            </c:numRef>
          </c:val>
          <c:extLst xmlns:c16r2="http://schemas.microsoft.com/office/drawing/2015/06/chart">
            <c:ext xmlns:c16="http://schemas.microsoft.com/office/drawing/2014/chart" uri="{C3380CC4-5D6E-409C-BE32-E72D297353CC}">
              <c16:uniqueId val="{00000002-CE27-4F65-9F87-FB11811CB246}"/>
            </c:ext>
          </c:extLst>
        </c:ser>
        <c:ser>
          <c:idx val="5"/>
          <c:order val="5"/>
          <c:tx>
            <c:strRef>
              <c:f>'Fig. 8 sepdiv tipo accordo'!$N$2</c:f>
              <c:strCache>
                <c:ptCount val="1"/>
                <c:pt idx="0">
                  <c:v>Divorzi  consensuali presso lo stato civile (ex art.12)</c:v>
                </c:pt>
              </c:strCache>
            </c:strRef>
          </c:tx>
          <c:spPr>
            <a:solidFill>
              <a:srgbClr val="CC6600"/>
            </a:solidFill>
          </c:spPr>
          <c:invertIfNegative val="0"/>
          <c:cat>
            <c:strRef>
              <c:f>'Fig. 8 sepdiv tipo accordo'!$H$3:$H$13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'Fig. 8 sepdiv tipo accordo'!$N$3:$N$13</c:f>
              <c:numCache>
                <c:formatCode>General</c:formatCode>
                <c:ptCount val="11"/>
                <c:pt idx="5" formatCode="_-* #,##0_-;\-* #,##0_-;_-* &quot;-&quot;??_-;_-@_-">
                  <c:v>21022</c:v>
                </c:pt>
                <c:pt idx="6" formatCode="_-* #,##0_-;\-* #,##0_-;_-* &quot;-&quot;??_-;_-@_-">
                  <c:v>27955</c:v>
                </c:pt>
                <c:pt idx="7" formatCode="_-* #,##0_-;\-* #,##0_-;_-* &quot;-&quot;??_-;_-@_-">
                  <c:v>22550</c:v>
                </c:pt>
                <c:pt idx="8" formatCode="_-* #,##0_-;\-* #,##0_-;_-* &quot;-&quot;??_-;_-@_-">
                  <c:v>20203</c:v>
                </c:pt>
                <c:pt idx="9" formatCode="_-* #,##0_-;\-* #,##0_-;_-* &quot;-&quot;??_-;_-@_-">
                  <c:v>20222</c:v>
                </c:pt>
                <c:pt idx="10" formatCode="_-* #,##0_-;\-* #,##0_-;_-* &quot;-&quot;??_-;_-@_-">
                  <c:v>15467</c:v>
                </c:pt>
              </c:numCache>
            </c:numRef>
          </c:val>
          <c:extLst xmlns:c16r2="http://schemas.microsoft.com/office/drawing/2015/06/chart">
            <c:ext xmlns:c16="http://schemas.microsoft.com/office/drawing/2014/chart" uri="{C3380CC4-5D6E-409C-BE32-E72D297353CC}">
              <c16:uniqueId val="{00000003-CE27-4F65-9F87-FB11811CB246}"/>
            </c:ext>
          </c:extLst>
        </c:ser>
        <c:dLbls>
          <c:showLegendKey val="0"/>
          <c:showVal val="0"/>
          <c:showCatName val="0"/>
          <c:showSerName val="0"/>
          <c:showPercent val="0"/>
          <c:showBubbleSize val="0"/>
        </c:dLbls>
        <c:gapWidth val="40"/>
        <c:overlap val="100"/>
        <c:axId val="165770352"/>
        <c:axId val="165770912"/>
        <c:extLst xmlns:c16r2="http://schemas.microsoft.com/office/drawing/2015/06/chart">
          <c:ext xmlns:c15="http://schemas.microsoft.com/office/drawing/2012/chart" uri="{02D57815-91ED-43cb-92C2-25804820EDAC}">
            <c15:filteredBarSeries>
              <c15:ser>
                <c:idx val="2"/>
                <c:order val="0"/>
                <c:tx>
                  <c:strRef>
                    <c:extLst xmlns:c16r2="http://schemas.microsoft.com/office/drawing/2015/06/chart">
                      <c:ext uri="{02D57815-91ED-43cb-92C2-25804820EDAC}">
                        <c15:formulaRef>
                          <c15:sqref>'Fig. 8 sepdiv tipo accordo'!$I$2</c15:sqref>
                        </c15:formulaRef>
                      </c:ext>
                    </c:extLst>
                    <c:strCache>
                      <c:ptCount val="1"/>
                      <c:pt idx="0">
                        <c:v>Divorzi</c:v>
                      </c:pt>
                    </c:strCache>
                  </c:strRef>
                </c:tx>
                <c:spPr>
                  <a:solidFill>
                    <a:srgbClr val="002060"/>
                  </a:solidFill>
                </c:spPr>
                <c:invertIfNegative val="0"/>
                <c:cat>
                  <c:strRef>
                    <c:extLst xmlns:c16r2="http://schemas.microsoft.com/office/drawing/2015/06/chart">
                      <c:ext uri="{02D57815-91ED-43cb-92C2-25804820EDAC}">
                        <c15:formulaRef>
                          <c15:sqref>'Fig. 8 sepdiv tipo accordo'!$H$3:$H$13</c15:sqref>
                        </c15:formulaRef>
                      </c:ext>
                    </c:extLst>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extLst xmlns:c16r2="http://schemas.microsoft.com/office/drawing/2015/06/chart">
                      <c:ext uri="{02D57815-91ED-43cb-92C2-25804820EDAC}">
                        <c15:formulaRef>
                          <c15:sqref>'Fig. 8 sepdiv tipo accordo'!$I$3:$I$13</c15:sqref>
                        </c15:formulaRef>
                      </c:ext>
                    </c:extLst>
                    <c:numCache>
                      <c:formatCode>_-* #,##0_-;\-* #,##0_-;_-* "-"??_-;_-@_-</c:formatCode>
                      <c:ptCount val="11"/>
                      <c:pt idx="0">
                        <c:v>54160</c:v>
                      </c:pt>
                      <c:pt idx="1">
                        <c:v>53806</c:v>
                      </c:pt>
                      <c:pt idx="2">
                        <c:v>51319</c:v>
                      </c:pt>
                      <c:pt idx="3">
                        <c:v>52943</c:v>
                      </c:pt>
                      <c:pt idx="4">
                        <c:v>52355</c:v>
                      </c:pt>
                      <c:pt idx="5">
                        <c:v>82469</c:v>
                      </c:pt>
                      <c:pt idx="6">
                        <c:v>99071</c:v>
                      </c:pt>
                      <c:pt idx="7">
                        <c:v>91629</c:v>
                      </c:pt>
                      <c:pt idx="8">
                        <c:v>88458</c:v>
                      </c:pt>
                      <c:pt idx="9">
                        <c:v>85349</c:v>
                      </c:pt>
                      <c:pt idx="10">
                        <c:v>66662</c:v>
                      </c:pt>
                    </c:numCache>
                  </c:numRef>
                </c:val>
                <c:extLst xmlns:c16r2="http://schemas.microsoft.com/office/drawing/2015/06/chart">
                  <c:ext xmlns:c16="http://schemas.microsoft.com/office/drawing/2014/chart" uri="{C3380CC4-5D6E-409C-BE32-E72D297353CC}">
                    <c16:uniqueId val="{00000004-CE27-4F65-9F87-FB11811CB246}"/>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'Fig. 8 sepdiv tipo accordo'!$J$2</c15:sqref>
                        </c15:formulaRef>
                      </c:ext>
                    </c:extLst>
                    <c:strCache>
                      <c:ptCount val="1"/>
                      <c:pt idx="0">
                        <c:v>Divorzi consensuali</c:v>
                      </c:pt>
                    </c:strCache>
                  </c:strRef>
                </c:tx>
                <c:spPr>
                  <a:solidFill>
                    <a:srgbClr val="FF0000"/>
                  </a:solidFill>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'Fig. 8 sepdiv tipo accordo'!$H$3:$H$13</c15:sqref>
                        </c15:formulaRef>
                      </c:ext>
                    </c:extLst>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'Fig. 8 sepdiv tipo accordo'!$J$3:$J$13</c15:sqref>
                        </c15:formulaRef>
                      </c:ext>
                    </c:extLst>
                    <c:numCache>
                      <c:formatCode>_-* #,##0_-;\-* #,##0_-;_-* "-"??_-;_-@_-</c:formatCode>
                      <c:ptCount val="11"/>
                      <c:pt idx="0">
                        <c:v>39226</c:v>
                      </c:pt>
                      <c:pt idx="1">
                        <c:v>37316</c:v>
                      </c:pt>
                      <c:pt idx="2">
                        <c:v>39740</c:v>
                      </c:pt>
                      <c:pt idx="3">
                        <c:v>40318</c:v>
                      </c:pt>
                      <c:pt idx="4">
                        <c:v>39730</c:v>
                      </c:pt>
                      <c:pt idx="5">
                        <c:v>61430</c:v>
                      </c:pt>
                      <c:pt idx="6">
                        <c:v>77509</c:v>
                      </c:pt>
                      <c:pt idx="7">
                        <c:v>67128</c:v>
                      </c:pt>
                      <c:pt idx="8">
                        <c:v>62761</c:v>
                      </c:pt>
                      <c:pt idx="9">
                        <c:v>59811</c:v>
                      </c:pt>
                      <c:pt idx="10">
                        <c:v>47790</c:v>
                      </c:pt>
                    </c:numCache>
                  </c:numRef>
                </c:val>
                <c:extLst xmlns:c15="http://schemas.microsoft.com/office/drawing/2012/chart" xmlns:c16r2="http://schemas.microsoft.com/office/drawing/2015/06/chart">
                  <c:ext xmlns:c16="http://schemas.microsoft.com/office/drawing/2014/chart" uri="{C3380CC4-5D6E-409C-BE32-E72D297353CC}">
                    <c16:uniqueId val="{00000005-CE27-4F65-9F87-FB11811CB246}"/>
                  </c:ext>
                </c:extLst>
              </c15:ser>
            </c15:filteredBarSeries>
          </c:ext>
        </c:extLst>
      </c:barChart>
      <c:catAx>
        <c:axId val="165770352"/>
        <c:scaling>
          <c:orientation val="minMax"/>
        </c:scaling>
        <c:delete val="0"/>
        <c:axPos val="b"/>
        <c:majorGridlines>
          <c:spPr>
            <a:ln>
              <a:solidFill>
                <a:schemeClr val="bg1"/>
              </a:solidFill>
            </a:ln>
          </c:spPr>
        </c:majorGridlines>
        <c:numFmt formatCode="General" sourceLinked="1"/>
        <c:majorTickMark val="none"/>
        <c:minorTickMark val="none"/>
        <c:tickLblPos val="low"/>
        <c:spPr>
          <a:ln w="12700">
            <a:solidFill>
              <a:schemeClr val="bg1"/>
            </a:solidFill>
            <a:prstDash val="solid"/>
          </a:ln>
        </c:spPr>
        <c:txPr>
          <a:bodyPr rot="-5400000" vert="horz"/>
          <a:lstStyle/>
          <a:p>
            <a:pPr>
              <a:defRPr sz="800" b="1"/>
            </a:pPr>
            <a:endParaRPr lang="it-IT"/>
          </a:p>
        </c:txPr>
        <c:crossAx val="165770912"/>
        <c:crosses val="autoZero"/>
        <c:auto val="1"/>
        <c:lblAlgn val="ctr"/>
        <c:lblOffset val="0"/>
        <c:noMultiLvlLbl val="0"/>
      </c:catAx>
      <c:valAx>
        <c:axId val="165770912"/>
        <c:scaling>
          <c:orientation val="minMax"/>
          <c:max val="100000"/>
          <c:min val="0"/>
        </c:scaling>
        <c:delete val="0"/>
        <c:axPos val="l"/>
        <c:majorGridlines>
          <c:spPr>
            <a:ln>
              <a:solidFill>
                <a:schemeClr val="bg1"/>
              </a:solidFill>
            </a:ln>
          </c:spPr>
        </c:majorGridlines>
        <c:numFmt formatCode="#,##0" sourceLinked="0"/>
        <c:majorTickMark val="none"/>
        <c:minorTickMark val="none"/>
        <c:tickLblPos val="nextTo"/>
        <c:spPr>
          <a:ln w="12700">
            <a:solidFill>
              <a:schemeClr val="bg1"/>
            </a:solidFill>
            <a:prstDash val="solid"/>
          </a:ln>
        </c:spPr>
        <c:txPr>
          <a:bodyPr rot="0" vert="horz"/>
          <a:lstStyle/>
          <a:p>
            <a:pPr>
              <a:defRPr sz="800"/>
            </a:pPr>
            <a:endParaRPr lang="it-IT"/>
          </a:p>
        </c:txPr>
        <c:crossAx val="165770352"/>
        <c:crosses val="autoZero"/>
        <c:crossBetween val="between"/>
        <c:majorUnit val="20000"/>
      </c:valAx>
      <c:spPr>
        <a:noFill/>
        <a:ln w="25400">
          <a:noFill/>
        </a:ln>
      </c:spPr>
    </c:plotArea>
    <c:legend>
      <c:legendPos val="r"/>
      <c:layout>
        <c:manualLayout>
          <c:xMode val="edge"/>
          <c:yMode val="edge"/>
          <c:x val="0"/>
          <c:y val="2.2174358250061773E-3"/>
          <c:w val="0.99420601551019716"/>
          <c:h val="0.2026022264458322"/>
        </c:manualLayout>
      </c:layout>
      <c:overlay val="0"/>
      <c:spPr>
        <a:noFill/>
        <a:ln w="25400">
          <a:noFill/>
        </a:ln>
      </c:spPr>
      <c:txPr>
        <a:bodyPr/>
        <a:lstStyle/>
        <a:p>
          <a:pPr>
            <a:defRPr sz="800"/>
          </a:pPr>
          <a:endParaRPr lang="it-IT"/>
        </a:p>
      </c:txPr>
    </c:legend>
    <c:plotVisOnly val="1"/>
    <c:dispBlanksAs val="gap"/>
    <c:showDLblsOverMax val="0"/>
  </c:chart>
  <c:spPr>
    <a:no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894943174501742E-2"/>
          <c:y val="0.21801930320150661"/>
          <c:w val="0.88426071211116786"/>
          <c:h val="0.36880628118910036"/>
        </c:manualLayout>
      </c:layout>
      <c:barChart>
        <c:barDir val="col"/>
        <c:grouping val="percentStacked"/>
        <c:varyColors val="0"/>
        <c:ser>
          <c:idx val="0"/>
          <c:order val="0"/>
          <c:tx>
            <c:strRef>
              <c:f>'Fig. 9 REGIONI DIV'!$B$2</c:f>
              <c:strCache>
                <c:ptCount val="1"/>
                <c:pt idx="0">
                  <c:v>Giudiziali presso i tribunali</c:v>
                </c:pt>
              </c:strCache>
            </c:strRef>
          </c:tx>
          <c:spPr>
            <a:solidFill>
              <a:srgbClr val="CC6600"/>
            </a:solidFill>
            <a:ln w="25400">
              <a:noFill/>
            </a:ln>
          </c:spPr>
          <c:invertIfNegative val="0"/>
          <c:cat>
            <c:strRef>
              <c:f>'Fig. 9 REGIONI DIV'!$A$3:$A$23</c:f>
              <c:strCache>
                <c:ptCount val="21"/>
                <c:pt idx="0">
                  <c:v>Piemonte</c:v>
                </c:pt>
                <c:pt idx="1">
                  <c:v>Valle d'Aosta-Vallée d'Aoste</c:v>
                </c:pt>
                <c:pt idx="2">
                  <c:v>Liguria</c:v>
                </c:pt>
                <c:pt idx="3">
                  <c:v>Lombardia</c:v>
                </c:pt>
                <c:pt idx="4">
                  <c:v>Bolzano/Bozen</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'Fig. 9 REGIONI DIV'!$B$3:$B$23</c:f>
              <c:numCache>
                <c:formatCode>#,##0</c:formatCode>
                <c:ptCount val="21"/>
                <c:pt idx="0">
                  <c:v>1371</c:v>
                </c:pt>
                <c:pt idx="1">
                  <c:v>32</c:v>
                </c:pt>
                <c:pt idx="2">
                  <c:v>612</c:v>
                </c:pt>
                <c:pt idx="3">
                  <c:v>2503</c:v>
                </c:pt>
                <c:pt idx="4">
                  <c:v>55</c:v>
                </c:pt>
                <c:pt idx="5">
                  <c:v>111</c:v>
                </c:pt>
                <c:pt idx="6">
                  <c:v>1345</c:v>
                </c:pt>
                <c:pt idx="7">
                  <c:v>361</c:v>
                </c:pt>
                <c:pt idx="8">
                  <c:v>1189</c:v>
                </c:pt>
                <c:pt idx="9">
                  <c:v>990</c:v>
                </c:pt>
                <c:pt idx="10">
                  <c:v>265</c:v>
                </c:pt>
                <c:pt idx="11">
                  <c:v>438</c:v>
                </c:pt>
                <c:pt idx="12">
                  <c:v>1835</c:v>
                </c:pt>
                <c:pt idx="13">
                  <c:v>436</c:v>
                </c:pt>
                <c:pt idx="14">
                  <c:v>104</c:v>
                </c:pt>
                <c:pt idx="15">
                  <c:v>1941</c:v>
                </c:pt>
                <c:pt idx="16">
                  <c:v>1608</c:v>
                </c:pt>
                <c:pt idx="17">
                  <c:v>113</c:v>
                </c:pt>
                <c:pt idx="18">
                  <c:v>722</c:v>
                </c:pt>
                <c:pt idx="19">
                  <c:v>1975</c:v>
                </c:pt>
                <c:pt idx="20">
                  <c:v>866</c:v>
                </c:pt>
              </c:numCache>
            </c:numRef>
          </c:val>
          <c:extLst xmlns:c16r2="http://schemas.microsoft.com/office/drawing/2015/06/chart">
            <c:ext xmlns:c16="http://schemas.microsoft.com/office/drawing/2014/chart" uri="{C3380CC4-5D6E-409C-BE32-E72D297353CC}">
              <c16:uniqueId val="{00000000-21EB-45DA-BADB-E9181F2B9F3F}"/>
            </c:ext>
          </c:extLst>
        </c:ser>
        <c:ser>
          <c:idx val="1"/>
          <c:order val="1"/>
          <c:tx>
            <c:strRef>
              <c:f>'Fig. 9 REGIONI DIV'!$C$2</c:f>
              <c:strCache>
                <c:ptCount val="1"/>
                <c:pt idx="0">
                  <c:v>Consensuali presso i Tribunali</c:v>
                </c:pt>
              </c:strCache>
            </c:strRef>
          </c:tx>
          <c:spPr>
            <a:solidFill>
              <a:srgbClr val="9BBB59"/>
            </a:solidFill>
            <a:ln w="25400">
              <a:noFill/>
            </a:ln>
          </c:spPr>
          <c:invertIfNegative val="0"/>
          <c:cat>
            <c:strRef>
              <c:f>'Fig. 9 REGIONI DIV'!$A$3:$A$23</c:f>
              <c:strCache>
                <c:ptCount val="21"/>
                <c:pt idx="0">
                  <c:v>Piemonte</c:v>
                </c:pt>
                <c:pt idx="1">
                  <c:v>Valle d'Aosta-Vallée d'Aoste</c:v>
                </c:pt>
                <c:pt idx="2">
                  <c:v>Liguria</c:v>
                </c:pt>
                <c:pt idx="3">
                  <c:v>Lombardia</c:v>
                </c:pt>
                <c:pt idx="4">
                  <c:v>Bolzano/Bozen</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'Fig. 9 REGIONI DIV'!$C$3:$C$23</c:f>
              <c:numCache>
                <c:formatCode>#,##0</c:formatCode>
                <c:ptCount val="21"/>
                <c:pt idx="0">
                  <c:v>2360</c:v>
                </c:pt>
                <c:pt idx="1">
                  <c:v>50</c:v>
                </c:pt>
                <c:pt idx="2">
                  <c:v>855</c:v>
                </c:pt>
                <c:pt idx="3">
                  <c:v>4304</c:v>
                </c:pt>
                <c:pt idx="4">
                  <c:v>324</c:v>
                </c:pt>
                <c:pt idx="5">
                  <c:v>175</c:v>
                </c:pt>
                <c:pt idx="6">
                  <c:v>2225</c:v>
                </c:pt>
                <c:pt idx="7">
                  <c:v>673</c:v>
                </c:pt>
                <c:pt idx="8">
                  <c:v>2052</c:v>
                </c:pt>
                <c:pt idx="9">
                  <c:v>1654</c:v>
                </c:pt>
                <c:pt idx="10">
                  <c:v>465</c:v>
                </c:pt>
                <c:pt idx="11">
                  <c:v>806</c:v>
                </c:pt>
                <c:pt idx="12">
                  <c:v>2058</c:v>
                </c:pt>
                <c:pt idx="13">
                  <c:v>564</c:v>
                </c:pt>
                <c:pt idx="14">
                  <c:v>116</c:v>
                </c:pt>
                <c:pt idx="15">
                  <c:v>1834</c:v>
                </c:pt>
                <c:pt idx="16">
                  <c:v>1554</c:v>
                </c:pt>
                <c:pt idx="17">
                  <c:v>223</c:v>
                </c:pt>
                <c:pt idx="18">
                  <c:v>712</c:v>
                </c:pt>
                <c:pt idx="19">
                  <c:v>2230</c:v>
                </c:pt>
                <c:pt idx="20">
                  <c:v>748</c:v>
                </c:pt>
              </c:numCache>
            </c:numRef>
          </c:val>
          <c:extLst xmlns:c16r2="http://schemas.microsoft.com/office/drawing/2015/06/chart">
            <c:ext xmlns:c16="http://schemas.microsoft.com/office/drawing/2014/chart" uri="{C3380CC4-5D6E-409C-BE32-E72D297353CC}">
              <c16:uniqueId val="{00000001-21EB-45DA-BADB-E9181F2B9F3F}"/>
            </c:ext>
          </c:extLst>
        </c:ser>
        <c:ser>
          <c:idx val="2"/>
          <c:order val="2"/>
          <c:tx>
            <c:strRef>
              <c:f>'Fig. 9 REGIONI DIV'!$D$2</c:f>
              <c:strCache>
                <c:ptCount val="1"/>
                <c:pt idx="0">
                  <c:v>Consensuali con negoziazioni assistite da avvocati (ex art.6)</c:v>
                </c:pt>
              </c:strCache>
            </c:strRef>
          </c:tx>
          <c:spPr>
            <a:solidFill>
              <a:srgbClr val="1F497D"/>
            </a:solidFill>
            <a:ln w="25400">
              <a:noFill/>
            </a:ln>
          </c:spPr>
          <c:invertIfNegative val="0"/>
          <c:cat>
            <c:strRef>
              <c:f>'Fig. 9 REGIONI DIV'!$A$3:$A$23</c:f>
              <c:strCache>
                <c:ptCount val="21"/>
                <c:pt idx="0">
                  <c:v>Piemonte</c:v>
                </c:pt>
                <c:pt idx="1">
                  <c:v>Valle d'Aosta-Vallée d'Aoste</c:v>
                </c:pt>
                <c:pt idx="2">
                  <c:v>Liguria</c:v>
                </c:pt>
                <c:pt idx="3">
                  <c:v>Lombardia</c:v>
                </c:pt>
                <c:pt idx="4">
                  <c:v>Bolzano/Bozen</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'Fig. 9 REGIONI DIV'!$D$3:$D$23</c:f>
              <c:numCache>
                <c:formatCode>#,##0</c:formatCode>
                <c:ptCount val="21"/>
                <c:pt idx="0">
                  <c:v>397</c:v>
                </c:pt>
                <c:pt idx="1">
                  <c:v>6</c:v>
                </c:pt>
                <c:pt idx="2">
                  <c:v>206</c:v>
                </c:pt>
                <c:pt idx="3">
                  <c:v>822</c:v>
                </c:pt>
                <c:pt idx="4">
                  <c:v>10</c:v>
                </c:pt>
                <c:pt idx="5">
                  <c:v>11</c:v>
                </c:pt>
                <c:pt idx="6">
                  <c:v>354</c:v>
                </c:pt>
                <c:pt idx="7">
                  <c:v>146</c:v>
                </c:pt>
                <c:pt idx="8">
                  <c:v>274</c:v>
                </c:pt>
                <c:pt idx="9">
                  <c:v>547</c:v>
                </c:pt>
                <c:pt idx="10">
                  <c:v>68</c:v>
                </c:pt>
                <c:pt idx="11">
                  <c:v>54</c:v>
                </c:pt>
                <c:pt idx="12">
                  <c:v>1346</c:v>
                </c:pt>
                <c:pt idx="13">
                  <c:v>71</c:v>
                </c:pt>
                <c:pt idx="14">
                  <c:v>28</c:v>
                </c:pt>
                <c:pt idx="15">
                  <c:v>640</c:v>
                </c:pt>
                <c:pt idx="16">
                  <c:v>407</c:v>
                </c:pt>
                <c:pt idx="17">
                  <c:v>37</c:v>
                </c:pt>
                <c:pt idx="18">
                  <c:v>122</c:v>
                </c:pt>
                <c:pt idx="19">
                  <c:v>755</c:v>
                </c:pt>
                <c:pt idx="20">
                  <c:v>40</c:v>
                </c:pt>
              </c:numCache>
            </c:numRef>
          </c:val>
          <c:extLst xmlns:c16r2="http://schemas.microsoft.com/office/drawing/2015/06/chart">
            <c:ext xmlns:c16="http://schemas.microsoft.com/office/drawing/2014/chart" uri="{C3380CC4-5D6E-409C-BE32-E72D297353CC}">
              <c16:uniqueId val="{00000002-21EB-45DA-BADB-E9181F2B9F3F}"/>
            </c:ext>
          </c:extLst>
        </c:ser>
        <c:ser>
          <c:idx val="4"/>
          <c:order val="3"/>
          <c:tx>
            <c:strRef>
              <c:f>'Fig. 9 REGIONI DIV'!$E$2</c:f>
              <c:strCache>
                <c:ptCount val="1"/>
                <c:pt idx="0">
                  <c:v>Consensuali presso lo stato civile (ex art.12)</c:v>
                </c:pt>
              </c:strCache>
            </c:strRef>
          </c:tx>
          <c:spPr>
            <a:solidFill>
              <a:srgbClr val="888888"/>
            </a:solidFill>
            <a:ln w="25400">
              <a:noFill/>
            </a:ln>
          </c:spPr>
          <c:invertIfNegative val="0"/>
          <c:cat>
            <c:strRef>
              <c:f>'Fig. 9 REGIONI DIV'!$A$3:$A$23</c:f>
              <c:strCache>
                <c:ptCount val="21"/>
                <c:pt idx="0">
                  <c:v>Piemonte</c:v>
                </c:pt>
                <c:pt idx="1">
                  <c:v>Valle d'Aosta-Vallée d'Aoste</c:v>
                </c:pt>
                <c:pt idx="2">
                  <c:v>Liguria</c:v>
                </c:pt>
                <c:pt idx="3">
                  <c:v>Lombardia</c:v>
                </c:pt>
                <c:pt idx="4">
                  <c:v>Bolzano/Bozen</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'Fig. 9 REGIONI DIV'!$E$3:$E$23</c:f>
              <c:numCache>
                <c:formatCode>#,##0</c:formatCode>
                <c:ptCount val="21"/>
                <c:pt idx="0">
                  <c:v>1682</c:v>
                </c:pt>
                <c:pt idx="1">
                  <c:v>58</c:v>
                </c:pt>
                <c:pt idx="2">
                  <c:v>550</c:v>
                </c:pt>
                <c:pt idx="3">
                  <c:v>3282</c:v>
                </c:pt>
                <c:pt idx="4">
                  <c:v>212</c:v>
                </c:pt>
                <c:pt idx="5">
                  <c:v>156</c:v>
                </c:pt>
                <c:pt idx="6">
                  <c:v>1556</c:v>
                </c:pt>
                <c:pt idx="7">
                  <c:v>402</c:v>
                </c:pt>
                <c:pt idx="8">
                  <c:v>1753</c:v>
                </c:pt>
                <c:pt idx="9">
                  <c:v>1229</c:v>
                </c:pt>
                <c:pt idx="10">
                  <c:v>231</c:v>
                </c:pt>
                <c:pt idx="11">
                  <c:v>391</c:v>
                </c:pt>
                <c:pt idx="12">
                  <c:v>1184</c:v>
                </c:pt>
                <c:pt idx="13">
                  <c:v>280</c:v>
                </c:pt>
                <c:pt idx="14">
                  <c:v>34</c:v>
                </c:pt>
                <c:pt idx="15">
                  <c:v>707</c:v>
                </c:pt>
                <c:pt idx="16">
                  <c:v>571</c:v>
                </c:pt>
                <c:pt idx="17">
                  <c:v>62</c:v>
                </c:pt>
                <c:pt idx="18">
                  <c:v>150</c:v>
                </c:pt>
                <c:pt idx="19">
                  <c:v>601</c:v>
                </c:pt>
                <c:pt idx="20">
                  <c:v>376</c:v>
                </c:pt>
              </c:numCache>
            </c:numRef>
          </c:val>
          <c:extLst xmlns:c16r2="http://schemas.microsoft.com/office/drawing/2015/06/chart">
            <c:ext xmlns:c16="http://schemas.microsoft.com/office/drawing/2014/chart" uri="{C3380CC4-5D6E-409C-BE32-E72D297353CC}">
              <c16:uniqueId val="{00000000-91D1-46EE-9629-9EE8068B6268}"/>
            </c:ext>
          </c:extLst>
        </c:ser>
        <c:dLbls>
          <c:showLegendKey val="0"/>
          <c:showVal val="0"/>
          <c:showCatName val="0"/>
          <c:showSerName val="0"/>
          <c:showPercent val="0"/>
          <c:showBubbleSize val="0"/>
        </c:dLbls>
        <c:gapWidth val="150"/>
        <c:overlap val="100"/>
        <c:axId val="165714912"/>
        <c:axId val="165715472"/>
      </c:barChart>
      <c:lineChart>
        <c:grouping val="standard"/>
        <c:varyColors val="0"/>
        <c:ser>
          <c:idx val="3"/>
          <c:order val="4"/>
          <c:tx>
            <c:strRef>
              <c:f>'Fig. 9 REGIONI DIV'!$F$2</c:f>
              <c:strCache>
                <c:ptCount val="1"/>
                <c:pt idx="0">
                  <c:v>Divorzi per 100.000 coniugati (scala di dx)</c:v>
                </c:pt>
              </c:strCache>
            </c:strRef>
          </c:tx>
          <c:spPr>
            <a:ln>
              <a:noFill/>
            </a:ln>
          </c:spPr>
          <c:marker>
            <c:symbol val="diamond"/>
            <c:size val="7"/>
            <c:spPr>
              <a:solidFill>
                <a:srgbClr val="E42618"/>
              </a:solidFill>
              <a:ln>
                <a:noFill/>
              </a:ln>
            </c:spPr>
          </c:marker>
          <c:cat>
            <c:strRef>
              <c:f>'Fig. 9 REGIONI DIV'!$A$3:$A$23</c:f>
              <c:strCache>
                <c:ptCount val="21"/>
                <c:pt idx="0">
                  <c:v>Piemonte</c:v>
                </c:pt>
                <c:pt idx="1">
                  <c:v>Valle d'Aosta-Vallée d'Aoste</c:v>
                </c:pt>
                <c:pt idx="2">
                  <c:v>Liguria</c:v>
                </c:pt>
                <c:pt idx="3">
                  <c:v>Lombardia</c:v>
                </c:pt>
                <c:pt idx="4">
                  <c:v>Bolzano/Bozen</c:v>
                </c:pt>
                <c:pt idx="5">
                  <c:v>Trento</c:v>
                </c:pt>
                <c:pt idx="6">
                  <c:v>Veneto</c:v>
                </c:pt>
                <c:pt idx="7">
                  <c:v>Friuli-Venezia Giulia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'Fig. 9 REGIONI DIV'!$F$3:$F$23</c:f>
              <c:numCache>
                <c:formatCode>#,##0.0</c:formatCode>
                <c:ptCount val="21"/>
                <c:pt idx="0">
                  <c:v>293.18158537059207</c:v>
                </c:pt>
                <c:pt idx="1">
                  <c:v>275.83340418095429</c:v>
                </c:pt>
                <c:pt idx="2">
                  <c:v>320.35623959706879</c:v>
                </c:pt>
                <c:pt idx="3">
                  <c:v>238.80731602660609</c:v>
                </c:pt>
                <c:pt idx="4">
                  <c:v>274.68258393586774</c:v>
                </c:pt>
                <c:pt idx="5">
                  <c:v>186.18529752657147</c:v>
                </c:pt>
                <c:pt idx="6">
                  <c:v>241.07659174888968</c:v>
                </c:pt>
                <c:pt idx="7">
                  <c:v>289.08018777421046</c:v>
                </c:pt>
                <c:pt idx="8">
                  <c:v>265.00700246293525</c:v>
                </c:pt>
                <c:pt idx="9">
                  <c:v>257.88218051635948</c:v>
                </c:pt>
                <c:pt idx="10">
                  <c:v>247.25948068300326</c:v>
                </c:pt>
                <c:pt idx="11">
                  <c:v>237.96005257945035</c:v>
                </c:pt>
                <c:pt idx="12">
                  <c:v>246.14335177268816</c:v>
                </c:pt>
                <c:pt idx="13">
                  <c:v>216.84697120477674</c:v>
                </c:pt>
                <c:pt idx="14">
                  <c:v>193.25128148899427</c:v>
                </c:pt>
                <c:pt idx="15">
                  <c:v>186.38572711812259</c:v>
                </c:pt>
                <c:pt idx="16">
                  <c:v>211.03767838163665</c:v>
                </c:pt>
                <c:pt idx="17">
                  <c:v>160.65947946328654</c:v>
                </c:pt>
                <c:pt idx="18">
                  <c:v>185.92465365266747</c:v>
                </c:pt>
                <c:pt idx="19">
                  <c:v>234.50203423451384</c:v>
                </c:pt>
                <c:pt idx="20">
                  <c:v>282.19057733689942</c:v>
                </c:pt>
              </c:numCache>
            </c:numRef>
          </c:val>
          <c:smooth val="0"/>
          <c:extLst xmlns:c16r2="http://schemas.microsoft.com/office/drawing/2015/06/chart">
            <c:ext xmlns:c16="http://schemas.microsoft.com/office/drawing/2014/chart" uri="{C3380CC4-5D6E-409C-BE32-E72D297353CC}">
              <c16:uniqueId val="{00000003-21EB-45DA-BADB-E9181F2B9F3F}"/>
            </c:ext>
          </c:extLst>
        </c:ser>
        <c:dLbls>
          <c:showLegendKey val="0"/>
          <c:showVal val="0"/>
          <c:showCatName val="0"/>
          <c:showSerName val="0"/>
          <c:showPercent val="0"/>
          <c:showBubbleSize val="0"/>
        </c:dLbls>
        <c:marker val="1"/>
        <c:smooth val="0"/>
        <c:axId val="165716592"/>
        <c:axId val="165716032"/>
      </c:lineChart>
      <c:catAx>
        <c:axId val="165714912"/>
        <c:scaling>
          <c:orientation val="minMax"/>
        </c:scaling>
        <c:delete val="0"/>
        <c:axPos val="b"/>
        <c:majorGridlines>
          <c:spPr>
            <a:ln>
              <a:solidFill>
                <a:schemeClr val="bg1"/>
              </a:solidFill>
            </a:ln>
          </c:spPr>
        </c:majorGridlines>
        <c:minorGridlines>
          <c:spPr>
            <a:ln>
              <a:solidFill>
                <a:schemeClr val="bg1"/>
              </a:solidFill>
            </a:ln>
          </c:spPr>
        </c:minorGridlines>
        <c:numFmt formatCode="General" sourceLinked="0"/>
        <c:majorTickMark val="out"/>
        <c:minorTickMark val="none"/>
        <c:tickLblPos val="nextTo"/>
        <c:spPr>
          <a:ln>
            <a:solidFill>
              <a:schemeClr val="bg1"/>
            </a:solidFill>
          </a:ln>
        </c:spPr>
        <c:txPr>
          <a:bodyPr/>
          <a:lstStyle/>
          <a:p>
            <a:pPr>
              <a:defRPr>
                <a:solidFill>
                  <a:sysClr val="windowText" lastClr="000000"/>
                </a:solidFill>
              </a:defRPr>
            </a:pPr>
            <a:endParaRPr lang="it-IT"/>
          </a:p>
        </c:txPr>
        <c:crossAx val="165715472"/>
        <c:crosses val="autoZero"/>
        <c:auto val="1"/>
        <c:lblAlgn val="ctr"/>
        <c:lblOffset val="100"/>
        <c:noMultiLvlLbl val="0"/>
      </c:catAx>
      <c:valAx>
        <c:axId val="165715472"/>
        <c:scaling>
          <c:orientation val="minMax"/>
          <c:max val="1"/>
          <c:min val="0"/>
        </c:scaling>
        <c:delete val="0"/>
        <c:axPos val="l"/>
        <c:majorGridlines>
          <c:spPr>
            <a:ln w="9525">
              <a:solidFill>
                <a:schemeClr val="bg1"/>
              </a:solidFill>
            </a:ln>
          </c:spPr>
        </c:majorGridlines>
        <c:numFmt formatCode="0%" sourceLinked="1"/>
        <c:majorTickMark val="out"/>
        <c:minorTickMark val="none"/>
        <c:tickLblPos val="nextTo"/>
        <c:spPr>
          <a:ln>
            <a:solidFill>
              <a:schemeClr val="bg1"/>
            </a:solidFill>
          </a:ln>
        </c:spPr>
        <c:crossAx val="165714912"/>
        <c:crosses val="autoZero"/>
        <c:crossBetween val="between"/>
      </c:valAx>
      <c:valAx>
        <c:axId val="165716032"/>
        <c:scaling>
          <c:orientation val="minMax"/>
          <c:max val="500"/>
          <c:min val="0"/>
        </c:scaling>
        <c:delete val="0"/>
        <c:axPos val="r"/>
        <c:majorGridlines>
          <c:spPr>
            <a:ln>
              <a:solidFill>
                <a:schemeClr val="bg1"/>
              </a:solidFill>
            </a:ln>
          </c:spPr>
        </c:majorGridlines>
        <c:numFmt formatCode="#,##0" sourceLinked="0"/>
        <c:majorTickMark val="out"/>
        <c:minorTickMark val="none"/>
        <c:tickLblPos val="nextTo"/>
        <c:spPr>
          <a:ln>
            <a:solidFill>
              <a:schemeClr val="bg1"/>
            </a:solidFill>
          </a:ln>
        </c:spPr>
        <c:crossAx val="165716592"/>
        <c:crosses val="max"/>
        <c:crossBetween val="between"/>
        <c:majorUnit val="100"/>
      </c:valAx>
      <c:catAx>
        <c:axId val="165716592"/>
        <c:scaling>
          <c:orientation val="minMax"/>
        </c:scaling>
        <c:delete val="1"/>
        <c:axPos val="b"/>
        <c:numFmt formatCode="General" sourceLinked="1"/>
        <c:majorTickMark val="out"/>
        <c:minorTickMark val="none"/>
        <c:tickLblPos val="nextTo"/>
        <c:crossAx val="165716032"/>
        <c:crosses val="autoZero"/>
        <c:auto val="1"/>
        <c:lblAlgn val="ctr"/>
        <c:lblOffset val="100"/>
        <c:noMultiLvlLbl val="0"/>
      </c:catAx>
      <c:spPr>
        <a:noFill/>
      </c:spPr>
    </c:plotArea>
    <c:legend>
      <c:legendPos val="t"/>
      <c:layout>
        <c:manualLayout>
          <c:xMode val="edge"/>
          <c:yMode val="edge"/>
          <c:x val="1.8099841269841269E-2"/>
          <c:y val="1.0931261770244819E-2"/>
          <c:w val="0.97753949631923942"/>
          <c:h val="0.16877824858757062"/>
        </c:manualLayout>
      </c:layou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FC317-92D8-4181-BD63-D838129B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8542</Words>
  <Characters>48693</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MATRIMONI, UNIONI CIVILI, SEPARAZIONI E DIVORZI | ANNO 2020</vt:lpstr>
    </vt:vector>
  </TitlesOfParts>
  <Company>ISTAT</Company>
  <LinksUpToDate>false</LinksUpToDate>
  <CharactersWithSpaces>57121</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MATRIMONI, UNIONI CIVILI, SEPARAZIONI E DIVORZI | ANNO 2020</dc:title>
  <dc:creator>Istat</dc:creator>
  <cp:keywords>matrimoni;unioni civili;separazioni;divorzi</cp:keywords>
  <cp:lastModifiedBy>Lidia Fagiolo</cp:lastModifiedBy>
  <cp:revision>2</cp:revision>
  <cp:lastPrinted>2022-02-21T09:13:00Z</cp:lastPrinted>
  <dcterms:created xsi:type="dcterms:W3CDTF">2022-02-21T09:49:00Z</dcterms:created>
  <dcterms:modified xsi:type="dcterms:W3CDTF">2022-02-21T09:49:00Z</dcterms:modified>
</cp:coreProperties>
</file>